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jc w:val="center"/>
        <w:rPr>
          <w:rFonts w:hAnsi="宋体"/>
          <w:b/>
          <w:bCs/>
          <w:color w:val="000000"/>
          <w:sz w:val="32"/>
          <w:szCs w:val="32"/>
        </w:rPr>
      </w:pPr>
      <w:r>
        <w:rPr>
          <w:rFonts w:hAnsi="宋体"/>
          <w:b/>
          <w:bCs/>
          <w:color w:val="000000"/>
          <w:sz w:val="32"/>
          <w:szCs w:val="32"/>
        </w:rPr>
        <w:t>《财务管理学》</w:t>
      </w:r>
      <w:r>
        <w:rPr>
          <w:rFonts w:hint="eastAsia" w:hAnsi="宋体"/>
          <w:b/>
          <w:bCs/>
          <w:color w:val="000000"/>
          <w:sz w:val="32"/>
          <w:szCs w:val="32"/>
        </w:rPr>
        <w:t>模拟题（补）</w:t>
      </w:r>
    </w:p>
    <w:p>
      <w:pPr>
        <w:spacing w:line="360" w:lineRule="auto"/>
        <w:rPr>
          <w:rFonts w:hAnsi="宋体"/>
          <w:b/>
          <w:bCs/>
          <w:color w:val="000000"/>
          <w:szCs w:val="21"/>
        </w:rPr>
      </w:pPr>
    </w:p>
    <w:p>
      <w:pPr>
        <w:spacing w:line="360" w:lineRule="auto"/>
        <w:jc w:val="left"/>
        <w:rPr>
          <w:color w:val="000000"/>
          <w:szCs w:val="21"/>
        </w:rPr>
      </w:pPr>
      <w:r>
        <w:rPr>
          <w:rFonts w:hAnsi="宋体"/>
          <w:b/>
          <w:color w:val="000000"/>
          <w:szCs w:val="21"/>
        </w:rPr>
        <w:t>一</w:t>
      </w:r>
      <w:r>
        <w:rPr>
          <w:rFonts w:hint="eastAsia" w:hAnsi="宋体"/>
          <w:b/>
          <w:color w:val="000000"/>
          <w:szCs w:val="21"/>
        </w:rPr>
        <w:t>、</w:t>
      </w:r>
      <w:r>
        <w:rPr>
          <w:rFonts w:hAnsi="宋体"/>
          <w:b/>
          <w:color w:val="000000"/>
          <w:szCs w:val="21"/>
        </w:rPr>
        <w:t>单项选择题</w:t>
      </w:r>
    </w:p>
    <w:p>
      <w:pPr>
        <w:spacing w:line="360" w:lineRule="auto"/>
        <w:jc w:val="left"/>
        <w:rPr>
          <w:color w:val="000000"/>
          <w:szCs w:val="21"/>
        </w:rPr>
      </w:pPr>
      <w:r>
        <w:rPr>
          <w:color w:val="000000"/>
          <w:szCs w:val="21"/>
        </w:rPr>
        <w:t>1.</w:t>
      </w:r>
      <w:r>
        <w:rPr>
          <w:rFonts w:hAnsi="宋体"/>
          <w:color w:val="000000"/>
          <w:szCs w:val="21"/>
        </w:rPr>
        <w:t>各项中体现债权与债务关系的是（</w:t>
      </w:r>
      <w:r>
        <w:rPr>
          <w:color w:val="000000"/>
          <w:szCs w:val="21"/>
        </w:rPr>
        <w:t>   </w:t>
      </w:r>
      <w:r>
        <w:rPr>
          <w:rFonts w:hAnsi="宋体"/>
          <w:color w:val="000000"/>
          <w:szCs w:val="21"/>
        </w:rPr>
        <w:t>）。</w:t>
      </w:r>
    </w:p>
    <w:p>
      <w:pPr>
        <w:spacing w:line="360" w:lineRule="auto"/>
        <w:ind w:firstLine="420" w:firstLineChars="200"/>
        <w:jc w:val="left"/>
        <w:rPr>
          <w:color w:val="000000"/>
          <w:szCs w:val="21"/>
        </w:rPr>
      </w:pPr>
      <w:r>
        <w:rPr>
          <w:color w:val="000000"/>
          <w:szCs w:val="21"/>
        </w:rPr>
        <w:t>A.</w:t>
      </w:r>
      <w:r>
        <w:rPr>
          <w:rFonts w:hAnsi="宋体"/>
          <w:color w:val="000000"/>
          <w:szCs w:val="21"/>
        </w:rPr>
        <w:t>企业与债权人之间的财务关系</w:t>
      </w:r>
      <w:r>
        <w:rPr>
          <w:color w:val="000000"/>
          <w:szCs w:val="21"/>
        </w:rPr>
        <w:t xml:space="preserve">       B.</w:t>
      </w:r>
      <w:r>
        <w:rPr>
          <w:rFonts w:hAnsi="宋体"/>
          <w:color w:val="000000"/>
          <w:szCs w:val="21"/>
        </w:rPr>
        <w:t>企业与受资者之间的财务关系</w:t>
      </w:r>
    </w:p>
    <w:p>
      <w:pPr>
        <w:spacing w:line="360" w:lineRule="auto"/>
        <w:ind w:firstLine="420" w:firstLineChars="200"/>
        <w:jc w:val="left"/>
        <w:rPr>
          <w:color w:val="000000"/>
          <w:szCs w:val="21"/>
        </w:rPr>
      </w:pPr>
      <w:r>
        <w:rPr>
          <w:color w:val="000000"/>
          <w:szCs w:val="21"/>
        </w:rPr>
        <w:t>C.</w:t>
      </w:r>
      <w:r>
        <w:rPr>
          <w:rFonts w:hAnsi="宋体"/>
          <w:color w:val="000000"/>
          <w:szCs w:val="21"/>
        </w:rPr>
        <w:t>企业与债务人之间的财务关系</w:t>
      </w:r>
      <w:r>
        <w:rPr>
          <w:color w:val="000000"/>
          <w:szCs w:val="21"/>
        </w:rPr>
        <w:t xml:space="preserve">       D.</w:t>
      </w:r>
      <w:r>
        <w:rPr>
          <w:rFonts w:hAnsi="宋体"/>
          <w:color w:val="000000"/>
          <w:szCs w:val="21"/>
        </w:rPr>
        <w:t>企业与政府之间的财务关系</w:t>
      </w:r>
    </w:p>
    <w:p>
      <w:pPr>
        <w:spacing w:line="360" w:lineRule="auto"/>
        <w:jc w:val="left"/>
        <w:rPr>
          <w:color w:val="000000"/>
          <w:szCs w:val="21"/>
        </w:rPr>
      </w:pPr>
      <w:r>
        <w:rPr>
          <w:color w:val="000000"/>
          <w:szCs w:val="21"/>
        </w:rPr>
        <w:t>2.</w:t>
      </w:r>
      <w:r>
        <w:rPr>
          <w:rFonts w:hAnsi="宋体"/>
          <w:color w:val="000000"/>
          <w:szCs w:val="21"/>
        </w:rPr>
        <w:t>（</w:t>
      </w:r>
      <w:r>
        <w:rPr>
          <w:color w:val="000000"/>
          <w:szCs w:val="21"/>
        </w:rPr>
        <w:t>   </w:t>
      </w:r>
      <w:r>
        <w:rPr>
          <w:rFonts w:hAnsi="宋体"/>
          <w:color w:val="000000"/>
          <w:szCs w:val="21"/>
        </w:rPr>
        <w:t>）是根据财务活动的历史资料，考虑现实的要求和条件，对企业未来的财务活动和财务成果做出科学的预计和测算。</w:t>
      </w:r>
    </w:p>
    <w:p>
      <w:pPr>
        <w:spacing w:line="360" w:lineRule="auto"/>
        <w:ind w:firstLine="420" w:firstLineChars="200"/>
        <w:jc w:val="left"/>
        <w:rPr>
          <w:color w:val="000000"/>
          <w:szCs w:val="21"/>
        </w:rPr>
      </w:pPr>
      <w:r>
        <w:rPr>
          <w:color w:val="000000"/>
          <w:szCs w:val="21"/>
        </w:rPr>
        <w:t>A.</w:t>
      </w:r>
      <w:r>
        <w:rPr>
          <w:rFonts w:hAnsi="宋体"/>
          <w:color w:val="000000"/>
          <w:szCs w:val="21"/>
        </w:rPr>
        <w:t>财务预测</w:t>
      </w:r>
      <w:r>
        <w:rPr>
          <w:color w:val="000000"/>
          <w:szCs w:val="21"/>
        </w:rPr>
        <w:t xml:space="preserve">        B.</w:t>
      </w:r>
      <w:r>
        <w:rPr>
          <w:rFonts w:hAnsi="宋体"/>
          <w:color w:val="000000"/>
          <w:szCs w:val="21"/>
        </w:rPr>
        <w:t>财务预算</w:t>
      </w:r>
      <w:r>
        <w:rPr>
          <w:color w:val="000000"/>
          <w:szCs w:val="21"/>
        </w:rPr>
        <w:t xml:space="preserve">       C.</w:t>
      </w:r>
      <w:r>
        <w:rPr>
          <w:rFonts w:hAnsi="宋体"/>
          <w:color w:val="000000"/>
          <w:szCs w:val="21"/>
        </w:rPr>
        <w:t>财务决策</w:t>
      </w:r>
      <w:r>
        <w:rPr>
          <w:color w:val="000000"/>
          <w:szCs w:val="21"/>
        </w:rPr>
        <w:t xml:space="preserve">        D.</w:t>
      </w:r>
      <w:r>
        <w:rPr>
          <w:rFonts w:hAnsi="宋体"/>
          <w:color w:val="000000"/>
          <w:szCs w:val="21"/>
        </w:rPr>
        <w:t>财务控制</w:t>
      </w:r>
      <w:r>
        <w:rPr>
          <w:color w:val="000000"/>
          <w:szCs w:val="21"/>
        </w:rPr>
        <w:t> </w:t>
      </w:r>
    </w:p>
    <w:p>
      <w:pPr>
        <w:spacing w:line="360" w:lineRule="auto"/>
        <w:jc w:val="left"/>
        <w:rPr>
          <w:color w:val="000000"/>
          <w:szCs w:val="21"/>
        </w:rPr>
      </w:pPr>
      <w:r>
        <w:rPr>
          <w:color w:val="000000"/>
          <w:szCs w:val="21"/>
        </w:rPr>
        <w:t>3.</w:t>
      </w:r>
      <w:r>
        <w:rPr>
          <w:rFonts w:hAnsi="宋体"/>
          <w:color w:val="000000"/>
          <w:szCs w:val="21"/>
        </w:rPr>
        <w:t>某人目前向银行存入</w:t>
      </w:r>
      <w:r>
        <w:rPr>
          <w:color w:val="000000"/>
          <w:szCs w:val="21"/>
        </w:rPr>
        <w:t>1000</w:t>
      </w:r>
      <w:r>
        <w:rPr>
          <w:rFonts w:hAnsi="宋体"/>
          <w:color w:val="000000"/>
          <w:szCs w:val="21"/>
        </w:rPr>
        <w:t>元，银行存款年利率为</w:t>
      </w:r>
      <w:r>
        <w:rPr>
          <w:color w:val="000000"/>
          <w:szCs w:val="21"/>
        </w:rPr>
        <w:t>2</w:t>
      </w:r>
      <w:r>
        <w:rPr>
          <w:rFonts w:hAnsi="宋体"/>
          <w:color w:val="000000"/>
          <w:szCs w:val="21"/>
        </w:rPr>
        <w:t>％，在复利计息的方式下，</w:t>
      </w:r>
      <w:r>
        <w:rPr>
          <w:color w:val="000000"/>
          <w:szCs w:val="21"/>
        </w:rPr>
        <w:t>5</w:t>
      </w:r>
      <w:r>
        <w:rPr>
          <w:rFonts w:hAnsi="宋体"/>
          <w:color w:val="000000"/>
          <w:szCs w:val="21"/>
        </w:rPr>
        <w:t>年后此人可以从银行取出（</w:t>
      </w:r>
      <w:r>
        <w:rPr>
          <w:color w:val="000000"/>
          <w:szCs w:val="21"/>
        </w:rPr>
        <w:t>   </w:t>
      </w:r>
      <w:r>
        <w:rPr>
          <w:rFonts w:hAnsi="宋体"/>
          <w:color w:val="000000"/>
          <w:szCs w:val="21"/>
        </w:rPr>
        <w:t>）元。</w:t>
      </w:r>
    </w:p>
    <w:p>
      <w:pPr>
        <w:spacing w:line="360" w:lineRule="auto"/>
        <w:ind w:firstLine="420" w:firstLineChars="200"/>
        <w:jc w:val="left"/>
        <w:rPr>
          <w:color w:val="000000"/>
          <w:szCs w:val="21"/>
        </w:rPr>
      </w:pPr>
      <w:r>
        <w:rPr>
          <w:color w:val="000000"/>
          <w:szCs w:val="21"/>
        </w:rPr>
        <w:t>A.1100            B.1104.1          C.1204            D.1106.1</w:t>
      </w:r>
    </w:p>
    <w:p>
      <w:pPr>
        <w:spacing w:line="360" w:lineRule="auto"/>
        <w:jc w:val="left"/>
        <w:rPr>
          <w:color w:val="000000"/>
          <w:szCs w:val="21"/>
        </w:rPr>
      </w:pPr>
      <w:r>
        <w:rPr>
          <w:color w:val="000000"/>
          <w:szCs w:val="21"/>
        </w:rPr>
        <w:t>4.</w:t>
      </w:r>
      <w:r>
        <w:rPr>
          <w:rFonts w:hAnsi="宋体"/>
          <w:color w:val="000000"/>
          <w:szCs w:val="21"/>
        </w:rPr>
        <w:t>某人分期购买一辆汽车，每年年末支付</w:t>
      </w:r>
      <w:r>
        <w:rPr>
          <w:color w:val="000000"/>
          <w:szCs w:val="21"/>
        </w:rPr>
        <w:t>10000</w:t>
      </w:r>
      <w:r>
        <w:rPr>
          <w:rFonts w:hAnsi="宋体"/>
          <w:color w:val="000000"/>
          <w:szCs w:val="21"/>
        </w:rPr>
        <w:t>元，分</w:t>
      </w:r>
      <w:r>
        <w:rPr>
          <w:color w:val="000000"/>
          <w:szCs w:val="21"/>
        </w:rPr>
        <w:t>5</w:t>
      </w:r>
      <w:r>
        <w:rPr>
          <w:rFonts w:hAnsi="宋体"/>
          <w:color w:val="000000"/>
          <w:szCs w:val="21"/>
        </w:rPr>
        <w:t>次付清，假设年利率为</w:t>
      </w:r>
      <w:r>
        <w:rPr>
          <w:color w:val="000000"/>
          <w:szCs w:val="21"/>
        </w:rPr>
        <w:t>5</w:t>
      </w:r>
      <w:r>
        <w:rPr>
          <w:rFonts w:hAnsi="宋体"/>
          <w:color w:val="000000"/>
          <w:szCs w:val="21"/>
        </w:rPr>
        <w:t>％，则该项分期付款相当于现在一次性支付（</w:t>
      </w:r>
      <w:r>
        <w:rPr>
          <w:color w:val="000000"/>
          <w:szCs w:val="21"/>
        </w:rPr>
        <w:t>   </w:t>
      </w:r>
      <w:r>
        <w:rPr>
          <w:rFonts w:hAnsi="宋体"/>
          <w:color w:val="000000"/>
          <w:szCs w:val="21"/>
        </w:rPr>
        <w:t>）元。</w:t>
      </w:r>
      <w:r>
        <w:rPr>
          <w:color w:val="000000"/>
          <w:szCs w:val="21"/>
        </w:rPr>
        <w:br/>
      </w:r>
      <w:r>
        <w:rPr>
          <w:color w:val="000000"/>
          <w:szCs w:val="21"/>
        </w:rPr>
        <w:t>A.55256           B.43259          C.43295           D.55265</w:t>
      </w:r>
    </w:p>
    <w:p>
      <w:pPr>
        <w:spacing w:line="360" w:lineRule="auto"/>
        <w:jc w:val="left"/>
        <w:rPr>
          <w:color w:val="000000"/>
          <w:szCs w:val="21"/>
        </w:rPr>
      </w:pPr>
      <w:r>
        <w:rPr>
          <w:color w:val="000000"/>
          <w:szCs w:val="21"/>
        </w:rPr>
        <w:t>5.</w:t>
      </w:r>
      <w:r>
        <w:rPr>
          <w:rFonts w:hint="eastAsia"/>
          <w:color w:val="000000"/>
          <w:szCs w:val="21"/>
        </w:rPr>
        <w:t>下</w:t>
      </w:r>
      <w:r>
        <w:rPr>
          <w:rFonts w:hAnsi="宋体"/>
          <w:color w:val="000000"/>
          <w:szCs w:val="21"/>
        </w:rPr>
        <w:t>列各项中（</w:t>
      </w:r>
      <w:r>
        <w:rPr>
          <w:color w:val="000000"/>
          <w:szCs w:val="21"/>
        </w:rPr>
        <w:t>   </w:t>
      </w:r>
      <w:r>
        <w:rPr>
          <w:rFonts w:hAnsi="宋体"/>
          <w:color w:val="000000"/>
          <w:szCs w:val="21"/>
        </w:rPr>
        <w:t>）会引起企业财务风险。</w:t>
      </w:r>
    </w:p>
    <w:p>
      <w:pPr>
        <w:spacing w:line="360" w:lineRule="auto"/>
        <w:ind w:firstLine="420" w:firstLineChars="200"/>
        <w:jc w:val="left"/>
        <w:rPr>
          <w:color w:val="000000"/>
          <w:szCs w:val="21"/>
        </w:rPr>
      </w:pPr>
      <w:r>
        <w:rPr>
          <w:color w:val="000000"/>
          <w:szCs w:val="21"/>
        </w:rPr>
        <w:t>A.</w:t>
      </w:r>
      <w:r>
        <w:rPr>
          <w:rFonts w:hAnsi="宋体"/>
          <w:color w:val="000000"/>
          <w:szCs w:val="21"/>
        </w:rPr>
        <w:t>举债经营</w:t>
      </w:r>
      <w:r>
        <w:rPr>
          <w:color w:val="000000"/>
          <w:szCs w:val="21"/>
        </w:rPr>
        <w:t xml:space="preserve">     B.</w:t>
      </w:r>
      <w:r>
        <w:rPr>
          <w:rFonts w:hAnsi="宋体"/>
          <w:color w:val="000000"/>
          <w:szCs w:val="21"/>
        </w:rPr>
        <w:t>生产组织不合理</w:t>
      </w:r>
      <w:r>
        <w:rPr>
          <w:color w:val="000000"/>
          <w:szCs w:val="21"/>
        </w:rPr>
        <w:t xml:space="preserve">    C.</w:t>
      </w:r>
      <w:r>
        <w:rPr>
          <w:rFonts w:hAnsi="宋体"/>
          <w:color w:val="000000"/>
          <w:szCs w:val="21"/>
        </w:rPr>
        <w:t>销售决策失误</w:t>
      </w:r>
      <w:r>
        <w:rPr>
          <w:color w:val="000000"/>
          <w:szCs w:val="21"/>
        </w:rPr>
        <w:t xml:space="preserve">    D.</w:t>
      </w:r>
      <w:r>
        <w:rPr>
          <w:rFonts w:hAnsi="宋体"/>
          <w:color w:val="000000"/>
          <w:szCs w:val="21"/>
        </w:rPr>
        <w:t>新材料出现</w:t>
      </w:r>
    </w:p>
    <w:p>
      <w:pPr>
        <w:spacing w:line="360" w:lineRule="auto"/>
        <w:jc w:val="left"/>
        <w:rPr>
          <w:color w:val="000000"/>
          <w:szCs w:val="21"/>
        </w:rPr>
      </w:pPr>
      <w:r>
        <w:rPr>
          <w:color w:val="000000"/>
          <w:szCs w:val="21"/>
        </w:rPr>
        <w:t>6.</w:t>
      </w:r>
      <w:r>
        <w:rPr>
          <w:rFonts w:hAnsi="宋体"/>
          <w:color w:val="000000"/>
          <w:szCs w:val="21"/>
        </w:rPr>
        <w:t>按照资金的来源渠道不同可将筹资分为（</w:t>
      </w:r>
      <w:r>
        <w:rPr>
          <w:color w:val="000000"/>
          <w:szCs w:val="21"/>
        </w:rPr>
        <w:t>   </w:t>
      </w:r>
      <w:r>
        <w:rPr>
          <w:rFonts w:hAnsi="宋体"/>
          <w:color w:val="000000"/>
          <w:szCs w:val="21"/>
        </w:rPr>
        <w:t>）。</w:t>
      </w:r>
    </w:p>
    <w:p>
      <w:pPr>
        <w:spacing w:line="360" w:lineRule="auto"/>
        <w:ind w:firstLine="420" w:firstLineChars="200"/>
        <w:jc w:val="left"/>
        <w:rPr>
          <w:color w:val="000000"/>
          <w:szCs w:val="21"/>
        </w:rPr>
      </w:pPr>
      <w:r>
        <w:rPr>
          <w:color w:val="000000"/>
          <w:szCs w:val="21"/>
        </w:rPr>
        <w:t>A.</w:t>
      </w:r>
      <w:r>
        <w:rPr>
          <w:rFonts w:hAnsi="宋体"/>
          <w:color w:val="000000"/>
          <w:szCs w:val="21"/>
        </w:rPr>
        <w:t>内源筹资和外源筹资</w:t>
      </w:r>
      <w:r>
        <w:rPr>
          <w:color w:val="000000"/>
          <w:szCs w:val="21"/>
        </w:rPr>
        <w:t xml:space="preserve">            B.</w:t>
      </w:r>
      <w:r>
        <w:rPr>
          <w:rFonts w:hAnsi="宋体"/>
          <w:color w:val="000000"/>
          <w:szCs w:val="21"/>
        </w:rPr>
        <w:t>直接筹资和间接筹资</w:t>
      </w:r>
    </w:p>
    <w:p>
      <w:pPr>
        <w:spacing w:line="360" w:lineRule="auto"/>
        <w:ind w:firstLine="420" w:firstLineChars="200"/>
        <w:jc w:val="left"/>
        <w:rPr>
          <w:color w:val="000000"/>
          <w:szCs w:val="21"/>
        </w:rPr>
      </w:pPr>
      <w:r>
        <w:rPr>
          <w:color w:val="000000"/>
          <w:szCs w:val="21"/>
        </w:rPr>
        <w:t>C.</w:t>
      </w:r>
      <w:r>
        <w:rPr>
          <w:rFonts w:hAnsi="宋体"/>
          <w:color w:val="000000"/>
          <w:szCs w:val="21"/>
        </w:rPr>
        <w:t>权益筹资和负债筹资</w:t>
      </w:r>
      <w:r>
        <w:rPr>
          <w:color w:val="000000"/>
          <w:szCs w:val="21"/>
        </w:rPr>
        <w:t xml:space="preserve">            D.</w:t>
      </w:r>
      <w:r>
        <w:rPr>
          <w:rFonts w:hAnsi="宋体"/>
          <w:color w:val="000000"/>
          <w:szCs w:val="21"/>
        </w:rPr>
        <w:t>表内筹资和表外筹资</w:t>
      </w:r>
    </w:p>
    <w:p>
      <w:pPr>
        <w:spacing w:line="360" w:lineRule="auto"/>
        <w:jc w:val="left"/>
        <w:rPr>
          <w:color w:val="000000"/>
          <w:szCs w:val="21"/>
        </w:rPr>
      </w:pPr>
      <w:r>
        <w:rPr>
          <w:color w:val="000000"/>
          <w:szCs w:val="21"/>
        </w:rPr>
        <w:t>7.</w:t>
      </w:r>
      <w:r>
        <w:rPr>
          <w:rFonts w:hint="eastAsia"/>
          <w:color w:val="000000"/>
          <w:szCs w:val="21"/>
        </w:rPr>
        <w:t>下</w:t>
      </w:r>
      <w:r>
        <w:rPr>
          <w:rFonts w:hAnsi="宋体"/>
          <w:color w:val="000000"/>
          <w:szCs w:val="21"/>
        </w:rPr>
        <w:t>列各项中（</w:t>
      </w:r>
      <w:r>
        <w:rPr>
          <w:color w:val="000000"/>
          <w:szCs w:val="21"/>
        </w:rPr>
        <w:t>   </w:t>
      </w:r>
      <w:r>
        <w:rPr>
          <w:rFonts w:hAnsi="宋体"/>
          <w:color w:val="000000"/>
          <w:szCs w:val="21"/>
        </w:rPr>
        <w:t>）不属于吸收直接投资的优点。</w:t>
      </w:r>
    </w:p>
    <w:p>
      <w:pPr>
        <w:spacing w:line="360" w:lineRule="auto"/>
        <w:ind w:firstLine="420" w:firstLineChars="200"/>
        <w:jc w:val="left"/>
        <w:rPr>
          <w:color w:val="000000"/>
          <w:szCs w:val="21"/>
        </w:rPr>
      </w:pPr>
      <w:r>
        <w:rPr>
          <w:color w:val="000000"/>
          <w:szCs w:val="21"/>
        </w:rPr>
        <w:t>A.</w:t>
      </w:r>
      <w:r>
        <w:rPr>
          <w:rFonts w:hAnsi="宋体"/>
          <w:color w:val="000000"/>
          <w:szCs w:val="21"/>
        </w:rPr>
        <w:t>有利于增强企业信誉</w:t>
      </w:r>
      <w:r>
        <w:rPr>
          <w:color w:val="000000"/>
          <w:szCs w:val="21"/>
        </w:rPr>
        <w:t xml:space="preserve">            B.</w:t>
      </w:r>
      <w:r>
        <w:rPr>
          <w:rFonts w:hAnsi="宋体"/>
          <w:color w:val="000000"/>
          <w:szCs w:val="21"/>
        </w:rPr>
        <w:t>有利于尽快形成生产能力</w:t>
      </w:r>
    </w:p>
    <w:p>
      <w:pPr>
        <w:spacing w:line="360" w:lineRule="auto"/>
        <w:ind w:firstLine="420" w:firstLineChars="200"/>
        <w:jc w:val="left"/>
        <w:rPr>
          <w:color w:val="000000"/>
          <w:szCs w:val="21"/>
        </w:rPr>
      </w:pPr>
      <w:r>
        <w:rPr>
          <w:color w:val="000000"/>
          <w:szCs w:val="21"/>
        </w:rPr>
        <w:t>C.</w:t>
      </w:r>
      <w:r>
        <w:rPr>
          <w:rFonts w:hAnsi="宋体"/>
          <w:color w:val="000000"/>
          <w:szCs w:val="21"/>
        </w:rPr>
        <w:t>资金成本较低</w:t>
      </w:r>
      <w:r>
        <w:rPr>
          <w:color w:val="000000"/>
          <w:szCs w:val="21"/>
        </w:rPr>
        <w:t xml:space="preserve">                  D.</w:t>
      </w:r>
      <w:r>
        <w:rPr>
          <w:rFonts w:hAnsi="宋体"/>
          <w:color w:val="000000"/>
          <w:szCs w:val="21"/>
        </w:rPr>
        <w:t>有利于降低财务风险</w:t>
      </w:r>
    </w:p>
    <w:p>
      <w:pPr>
        <w:spacing w:line="360" w:lineRule="auto"/>
        <w:jc w:val="left"/>
        <w:rPr>
          <w:color w:val="000000"/>
          <w:szCs w:val="21"/>
        </w:rPr>
      </w:pPr>
      <w:r>
        <w:rPr>
          <w:color w:val="000000"/>
          <w:szCs w:val="21"/>
        </w:rPr>
        <w:t>8.</w:t>
      </w:r>
      <w:r>
        <w:rPr>
          <w:rFonts w:hint="eastAsia"/>
          <w:color w:val="000000"/>
          <w:szCs w:val="21"/>
        </w:rPr>
        <w:t>下</w:t>
      </w:r>
      <w:r>
        <w:rPr>
          <w:rFonts w:hAnsi="宋体"/>
          <w:color w:val="000000"/>
          <w:szCs w:val="21"/>
        </w:rPr>
        <w:t>列各项中（</w:t>
      </w:r>
      <w:r>
        <w:rPr>
          <w:color w:val="000000"/>
          <w:szCs w:val="21"/>
        </w:rPr>
        <w:t>   </w:t>
      </w:r>
      <w:r>
        <w:rPr>
          <w:rFonts w:hAnsi="宋体"/>
          <w:color w:val="000000"/>
          <w:szCs w:val="21"/>
        </w:rPr>
        <w:t>）不属于投资与投机的区别。</w:t>
      </w:r>
    </w:p>
    <w:p>
      <w:pPr>
        <w:spacing w:line="360" w:lineRule="auto"/>
        <w:ind w:firstLine="420" w:firstLineChars="200"/>
        <w:jc w:val="left"/>
        <w:rPr>
          <w:color w:val="000000"/>
          <w:szCs w:val="21"/>
        </w:rPr>
      </w:pPr>
      <w:r>
        <w:rPr>
          <w:color w:val="000000"/>
          <w:szCs w:val="21"/>
        </w:rPr>
        <w:t>A.</w:t>
      </w:r>
      <w:r>
        <w:rPr>
          <w:rFonts w:hAnsi="宋体"/>
          <w:color w:val="000000"/>
          <w:szCs w:val="21"/>
        </w:rPr>
        <w:t>二者的利益着眼点不同</w:t>
      </w:r>
      <w:r>
        <w:rPr>
          <w:color w:val="000000"/>
          <w:szCs w:val="21"/>
        </w:rPr>
        <w:t xml:space="preserve">          B.</w:t>
      </w:r>
      <w:r>
        <w:rPr>
          <w:rFonts w:hAnsi="宋体"/>
          <w:color w:val="000000"/>
          <w:szCs w:val="21"/>
        </w:rPr>
        <w:t>二者承担的风险不同</w:t>
      </w:r>
    </w:p>
    <w:p>
      <w:pPr>
        <w:spacing w:line="360" w:lineRule="auto"/>
        <w:ind w:firstLine="420" w:firstLineChars="200"/>
        <w:jc w:val="left"/>
        <w:rPr>
          <w:color w:val="000000"/>
          <w:szCs w:val="21"/>
        </w:rPr>
      </w:pPr>
      <w:r>
        <w:rPr>
          <w:color w:val="000000"/>
          <w:szCs w:val="21"/>
        </w:rPr>
        <w:t>C.</w:t>
      </w:r>
      <w:r>
        <w:rPr>
          <w:rFonts w:hAnsi="宋体"/>
          <w:color w:val="000000"/>
          <w:szCs w:val="21"/>
        </w:rPr>
        <w:t>二者的交易方式不同</w:t>
      </w:r>
      <w:r>
        <w:rPr>
          <w:color w:val="000000"/>
          <w:szCs w:val="21"/>
        </w:rPr>
        <w:t xml:space="preserve">            D.</w:t>
      </w:r>
      <w:r>
        <w:rPr>
          <w:rFonts w:hAnsi="宋体"/>
          <w:color w:val="000000"/>
          <w:szCs w:val="21"/>
        </w:rPr>
        <w:t>二者的基本目的不同</w:t>
      </w:r>
    </w:p>
    <w:p>
      <w:pPr>
        <w:spacing w:line="360" w:lineRule="auto"/>
        <w:rPr>
          <w:color w:val="000000"/>
          <w:szCs w:val="21"/>
        </w:rPr>
      </w:pPr>
      <w:r>
        <w:rPr>
          <w:color w:val="000000"/>
          <w:szCs w:val="21"/>
        </w:rPr>
        <w:t>9.</w:t>
      </w:r>
      <w:r>
        <w:rPr>
          <w:rFonts w:hAnsi="宋体"/>
          <w:color w:val="000000"/>
          <w:szCs w:val="21"/>
        </w:rPr>
        <w:t>考虑所得税的情况下，计算项目的现金流量时，不需要考虑（</w:t>
      </w:r>
      <w:r>
        <w:rPr>
          <w:color w:val="000000"/>
          <w:szCs w:val="21"/>
        </w:rPr>
        <w:t>   </w:t>
      </w:r>
      <w:r>
        <w:rPr>
          <w:rFonts w:hAnsi="宋体"/>
          <w:color w:val="000000"/>
          <w:szCs w:val="21"/>
        </w:rPr>
        <w:t>）的影响。</w:t>
      </w:r>
    </w:p>
    <w:p>
      <w:pPr>
        <w:spacing w:line="360" w:lineRule="auto"/>
        <w:ind w:firstLine="420" w:firstLineChars="200"/>
        <w:rPr>
          <w:color w:val="000000"/>
          <w:szCs w:val="21"/>
        </w:rPr>
      </w:pPr>
      <w:r>
        <w:rPr>
          <w:color w:val="000000"/>
          <w:szCs w:val="21"/>
        </w:rPr>
        <w:t>A.</w:t>
      </w:r>
      <w:r>
        <w:rPr>
          <w:rFonts w:hAnsi="宋体"/>
          <w:color w:val="000000"/>
          <w:szCs w:val="21"/>
        </w:rPr>
        <w:t>更新改造项目中旧设备的变现收入</w:t>
      </w:r>
    </w:p>
    <w:p>
      <w:pPr>
        <w:spacing w:line="360" w:lineRule="auto"/>
        <w:ind w:firstLine="420" w:firstLineChars="200"/>
        <w:rPr>
          <w:color w:val="000000"/>
          <w:szCs w:val="21"/>
        </w:rPr>
      </w:pPr>
      <w:r>
        <w:rPr>
          <w:color w:val="000000"/>
          <w:szCs w:val="21"/>
        </w:rPr>
        <w:t>B.</w:t>
      </w:r>
      <w:r>
        <w:rPr>
          <w:rFonts w:hAnsi="宋体"/>
          <w:color w:val="000000"/>
          <w:szCs w:val="21"/>
        </w:rPr>
        <w:t>因项目的投产引起的企业其他产品销售收入的减少</w:t>
      </w:r>
    </w:p>
    <w:p>
      <w:pPr>
        <w:spacing w:line="360" w:lineRule="auto"/>
        <w:ind w:firstLine="420" w:firstLineChars="200"/>
        <w:rPr>
          <w:color w:val="000000"/>
          <w:szCs w:val="21"/>
        </w:rPr>
      </w:pPr>
      <w:r>
        <w:rPr>
          <w:color w:val="000000"/>
          <w:szCs w:val="21"/>
        </w:rPr>
        <w:t>C.</w:t>
      </w:r>
      <w:r>
        <w:rPr>
          <w:rFonts w:hAnsi="宋体"/>
          <w:color w:val="000000"/>
          <w:szCs w:val="21"/>
        </w:rPr>
        <w:t>固定资产的折旧额</w:t>
      </w:r>
    </w:p>
    <w:p>
      <w:pPr>
        <w:spacing w:line="360" w:lineRule="auto"/>
        <w:ind w:firstLine="420" w:firstLineChars="200"/>
        <w:rPr>
          <w:color w:val="000000"/>
          <w:szCs w:val="21"/>
        </w:rPr>
      </w:pPr>
      <w:r>
        <w:rPr>
          <w:color w:val="000000"/>
          <w:szCs w:val="21"/>
        </w:rPr>
        <w:t>D.</w:t>
      </w:r>
      <w:r>
        <w:rPr>
          <w:rFonts w:hAnsi="宋体"/>
          <w:color w:val="000000"/>
          <w:szCs w:val="21"/>
        </w:rPr>
        <w:t>以前年度支付的研究开发费</w:t>
      </w:r>
      <w:r>
        <w:rPr>
          <w:color w:val="000000"/>
          <w:szCs w:val="21"/>
        </w:rPr>
        <w:br/>
      </w:r>
      <w:r>
        <w:rPr>
          <w:color w:val="000000"/>
          <w:szCs w:val="21"/>
        </w:rPr>
        <w:t>10.</w:t>
      </w:r>
      <w:r>
        <w:rPr>
          <w:rFonts w:hint="eastAsia"/>
          <w:color w:val="000000"/>
          <w:szCs w:val="21"/>
        </w:rPr>
        <w:t>下</w:t>
      </w:r>
      <w:r>
        <w:rPr>
          <w:rFonts w:hAnsi="宋体"/>
          <w:color w:val="000000"/>
          <w:szCs w:val="21"/>
        </w:rPr>
        <w:t>列各项中（</w:t>
      </w:r>
      <w:r>
        <w:rPr>
          <w:color w:val="000000"/>
          <w:szCs w:val="21"/>
        </w:rPr>
        <w:t>   </w:t>
      </w:r>
      <w:r>
        <w:rPr>
          <w:rFonts w:hAnsi="宋体"/>
          <w:color w:val="000000"/>
          <w:szCs w:val="21"/>
        </w:rPr>
        <w:t>）属于狭义有价证券。</w:t>
      </w:r>
    </w:p>
    <w:p>
      <w:pPr>
        <w:spacing w:line="360" w:lineRule="auto"/>
        <w:ind w:firstLine="420" w:firstLineChars="200"/>
        <w:jc w:val="left"/>
        <w:rPr>
          <w:color w:val="000000"/>
          <w:szCs w:val="21"/>
        </w:rPr>
      </w:pPr>
      <w:r>
        <w:rPr>
          <w:color w:val="000000"/>
          <w:szCs w:val="21"/>
        </w:rPr>
        <w:t>A.</w:t>
      </w:r>
      <w:r>
        <w:rPr>
          <w:rFonts w:hAnsi="宋体"/>
          <w:color w:val="000000"/>
          <w:szCs w:val="21"/>
        </w:rPr>
        <w:t>商业本票</w:t>
      </w:r>
      <w:r>
        <w:rPr>
          <w:color w:val="000000"/>
          <w:szCs w:val="21"/>
        </w:rPr>
        <w:t xml:space="preserve">        B.</w:t>
      </w:r>
      <w:r>
        <w:rPr>
          <w:rFonts w:hAnsi="宋体"/>
          <w:color w:val="000000"/>
          <w:szCs w:val="21"/>
        </w:rPr>
        <w:t>可转换债券</w:t>
      </w:r>
      <w:r>
        <w:rPr>
          <w:color w:val="000000"/>
          <w:szCs w:val="21"/>
        </w:rPr>
        <w:t xml:space="preserve">        C.</w:t>
      </w:r>
      <w:r>
        <w:rPr>
          <w:rFonts w:hAnsi="宋体"/>
          <w:color w:val="000000"/>
          <w:szCs w:val="21"/>
        </w:rPr>
        <w:t>运货单</w:t>
      </w:r>
      <w:r>
        <w:rPr>
          <w:color w:val="000000"/>
          <w:szCs w:val="21"/>
        </w:rPr>
        <w:t xml:space="preserve">          D.</w:t>
      </w:r>
      <w:r>
        <w:rPr>
          <w:rFonts w:hAnsi="宋体"/>
          <w:color w:val="000000"/>
          <w:szCs w:val="21"/>
        </w:rPr>
        <w:t>借据</w:t>
      </w:r>
    </w:p>
    <w:p>
      <w:pPr>
        <w:spacing w:line="360" w:lineRule="auto"/>
        <w:jc w:val="left"/>
        <w:rPr>
          <w:color w:val="000000"/>
          <w:szCs w:val="21"/>
        </w:rPr>
      </w:pPr>
      <w:r>
        <w:rPr>
          <w:color w:val="000000"/>
          <w:szCs w:val="21"/>
        </w:rPr>
        <w:t>11.</w:t>
      </w:r>
      <w:r>
        <w:rPr>
          <w:rFonts w:hAnsi="宋体"/>
          <w:color w:val="000000"/>
          <w:szCs w:val="21"/>
        </w:rPr>
        <w:t>按照组织形态不同，可以将基金分为（</w:t>
      </w:r>
      <w:r>
        <w:rPr>
          <w:color w:val="000000"/>
          <w:szCs w:val="21"/>
        </w:rPr>
        <w:t>   </w:t>
      </w:r>
      <w:r>
        <w:rPr>
          <w:rFonts w:hAnsi="宋体"/>
          <w:color w:val="000000"/>
          <w:szCs w:val="21"/>
        </w:rPr>
        <w:t>）。</w:t>
      </w:r>
    </w:p>
    <w:p>
      <w:pPr>
        <w:spacing w:line="360" w:lineRule="auto"/>
        <w:ind w:firstLine="420" w:firstLineChars="200"/>
        <w:jc w:val="left"/>
        <w:rPr>
          <w:color w:val="000000"/>
          <w:szCs w:val="21"/>
        </w:rPr>
      </w:pPr>
      <w:r>
        <w:rPr>
          <w:color w:val="000000"/>
          <w:szCs w:val="21"/>
        </w:rPr>
        <w:t>A.</w:t>
      </w:r>
      <w:r>
        <w:rPr>
          <w:rFonts w:hAnsi="宋体"/>
          <w:color w:val="000000"/>
          <w:szCs w:val="21"/>
        </w:rPr>
        <w:t>契约型基金和公司型基金</w:t>
      </w:r>
      <w:r>
        <w:rPr>
          <w:color w:val="000000"/>
          <w:szCs w:val="21"/>
        </w:rPr>
        <w:t xml:space="preserve">            B.</w:t>
      </w:r>
      <w:r>
        <w:rPr>
          <w:rFonts w:hAnsi="宋体"/>
          <w:color w:val="000000"/>
          <w:szCs w:val="21"/>
        </w:rPr>
        <w:t>开放式基金和封闭式基金</w:t>
      </w:r>
    </w:p>
    <w:p>
      <w:pPr>
        <w:spacing w:line="360" w:lineRule="auto"/>
        <w:ind w:firstLine="420" w:firstLineChars="200"/>
        <w:jc w:val="left"/>
        <w:rPr>
          <w:color w:val="000000"/>
          <w:szCs w:val="21"/>
        </w:rPr>
      </w:pPr>
      <w:r>
        <w:rPr>
          <w:color w:val="000000"/>
          <w:szCs w:val="21"/>
        </w:rPr>
        <w:t>C.</w:t>
      </w:r>
      <w:r>
        <w:rPr>
          <w:rFonts w:hAnsi="宋体"/>
          <w:color w:val="000000"/>
          <w:szCs w:val="21"/>
        </w:rPr>
        <w:t>股票基金和债券基金</w:t>
      </w:r>
      <w:r>
        <w:rPr>
          <w:color w:val="000000"/>
          <w:szCs w:val="21"/>
        </w:rPr>
        <w:t xml:space="preserve">                D.</w:t>
      </w:r>
      <w:r>
        <w:rPr>
          <w:rFonts w:hAnsi="宋体"/>
          <w:color w:val="000000"/>
          <w:szCs w:val="21"/>
        </w:rPr>
        <w:t>期权基金和期货基金</w:t>
      </w:r>
    </w:p>
    <w:p>
      <w:pPr>
        <w:spacing w:line="360" w:lineRule="auto"/>
        <w:jc w:val="left"/>
        <w:rPr>
          <w:color w:val="000000"/>
          <w:szCs w:val="21"/>
        </w:rPr>
      </w:pPr>
      <w:r>
        <w:rPr>
          <w:color w:val="000000"/>
          <w:szCs w:val="21"/>
        </w:rPr>
        <w:t>12.</w:t>
      </w:r>
      <w:r>
        <w:rPr>
          <w:rFonts w:hAnsi="宋体"/>
          <w:color w:val="000000"/>
          <w:szCs w:val="21"/>
        </w:rPr>
        <w:t>企业在制定或选择信用标准时不需要考虑的因素包括（</w:t>
      </w:r>
      <w:r>
        <w:rPr>
          <w:color w:val="000000"/>
          <w:szCs w:val="21"/>
        </w:rPr>
        <w:t>  </w:t>
      </w:r>
      <w:r>
        <w:rPr>
          <w:rFonts w:hAnsi="宋体"/>
          <w:color w:val="000000"/>
          <w:szCs w:val="21"/>
        </w:rPr>
        <w:t>　）。</w:t>
      </w:r>
    </w:p>
    <w:p>
      <w:pPr>
        <w:spacing w:line="360" w:lineRule="auto"/>
        <w:ind w:firstLine="420" w:firstLineChars="200"/>
        <w:jc w:val="left"/>
        <w:rPr>
          <w:color w:val="000000"/>
          <w:szCs w:val="21"/>
        </w:rPr>
      </w:pPr>
      <w:r>
        <w:rPr>
          <w:color w:val="000000"/>
          <w:szCs w:val="21"/>
        </w:rPr>
        <w:t>A.</w:t>
      </w:r>
      <w:r>
        <w:rPr>
          <w:rFonts w:hAnsi="宋体"/>
          <w:color w:val="000000"/>
          <w:szCs w:val="21"/>
        </w:rPr>
        <w:t>预计可以获得的利润</w:t>
      </w:r>
      <w:r>
        <w:rPr>
          <w:color w:val="000000"/>
          <w:szCs w:val="21"/>
        </w:rPr>
        <w:t>                     B.</w:t>
      </w:r>
      <w:r>
        <w:rPr>
          <w:rFonts w:hAnsi="宋体"/>
          <w:color w:val="000000"/>
          <w:szCs w:val="21"/>
        </w:rPr>
        <w:t>同行业竞争对手的情况</w:t>
      </w:r>
    </w:p>
    <w:p>
      <w:pPr>
        <w:spacing w:line="360" w:lineRule="auto"/>
        <w:ind w:firstLine="420" w:firstLineChars="200"/>
        <w:jc w:val="left"/>
        <w:rPr>
          <w:rFonts w:hAnsi="宋体"/>
          <w:color w:val="000000"/>
          <w:szCs w:val="21"/>
        </w:rPr>
      </w:pPr>
      <w:r>
        <w:rPr>
          <w:color w:val="000000"/>
          <w:szCs w:val="21"/>
        </w:rPr>
        <w:t>C.</w:t>
      </w:r>
      <w:r>
        <w:rPr>
          <w:rFonts w:hAnsi="宋体"/>
          <w:color w:val="000000"/>
          <w:szCs w:val="21"/>
        </w:rPr>
        <w:t>客户资信程度</w:t>
      </w:r>
      <w:r>
        <w:rPr>
          <w:color w:val="000000"/>
          <w:szCs w:val="21"/>
        </w:rPr>
        <w:t>                              D.</w:t>
      </w:r>
      <w:r>
        <w:rPr>
          <w:rFonts w:hAnsi="宋体"/>
          <w:color w:val="000000"/>
          <w:szCs w:val="21"/>
        </w:rPr>
        <w:t>企业承担违约风险的能力</w:t>
      </w:r>
    </w:p>
    <w:p>
      <w:pPr>
        <w:spacing w:line="360" w:lineRule="auto"/>
        <w:jc w:val="left"/>
        <w:rPr>
          <w:color w:val="000000"/>
          <w:szCs w:val="21"/>
        </w:rPr>
      </w:pPr>
      <w:r>
        <w:rPr>
          <w:rFonts w:hint="eastAsia"/>
          <w:color w:val="000000"/>
          <w:szCs w:val="21"/>
        </w:rPr>
        <w:t>13</w:t>
      </w:r>
      <w:r>
        <w:rPr>
          <w:color w:val="000000"/>
          <w:szCs w:val="21"/>
        </w:rPr>
        <w:t>.</w:t>
      </w:r>
      <w:r>
        <w:rPr>
          <w:rFonts w:hAnsi="宋体"/>
          <w:color w:val="000000"/>
          <w:szCs w:val="21"/>
        </w:rPr>
        <w:t>每股利润最大化目标与利润最大化目标相比具有的优点是（</w:t>
      </w:r>
      <w:r>
        <w:rPr>
          <w:color w:val="000000"/>
          <w:szCs w:val="21"/>
        </w:rPr>
        <w:t>   </w:t>
      </w:r>
      <w:r>
        <w:rPr>
          <w:rFonts w:hAnsi="宋体"/>
          <w:color w:val="000000"/>
          <w:szCs w:val="21"/>
        </w:rPr>
        <w:t>）。</w:t>
      </w:r>
    </w:p>
    <w:p>
      <w:pPr>
        <w:spacing w:line="360" w:lineRule="auto"/>
        <w:ind w:firstLine="420" w:firstLineChars="200"/>
        <w:jc w:val="left"/>
        <w:rPr>
          <w:color w:val="000000"/>
          <w:szCs w:val="21"/>
        </w:rPr>
      </w:pPr>
      <w:r>
        <w:rPr>
          <w:color w:val="000000"/>
          <w:szCs w:val="21"/>
        </w:rPr>
        <w:t>A.</w:t>
      </w:r>
      <w:r>
        <w:rPr>
          <w:rFonts w:hAnsi="宋体"/>
          <w:color w:val="000000"/>
          <w:szCs w:val="21"/>
        </w:rPr>
        <w:t>考虑了资金时间价值</w:t>
      </w:r>
      <w:r>
        <w:rPr>
          <w:color w:val="000000"/>
          <w:szCs w:val="21"/>
        </w:rPr>
        <w:t xml:space="preserve">                  B.</w:t>
      </w:r>
      <w:r>
        <w:rPr>
          <w:rFonts w:hAnsi="宋体"/>
          <w:color w:val="000000"/>
          <w:szCs w:val="21"/>
        </w:rPr>
        <w:t>考虑了风险因素</w:t>
      </w:r>
    </w:p>
    <w:p>
      <w:pPr>
        <w:spacing w:line="360" w:lineRule="auto"/>
        <w:ind w:firstLine="420" w:firstLineChars="200"/>
        <w:jc w:val="left"/>
        <w:rPr>
          <w:color w:val="000000"/>
          <w:szCs w:val="21"/>
        </w:rPr>
      </w:pPr>
      <w:r>
        <w:rPr>
          <w:color w:val="000000"/>
          <w:szCs w:val="21"/>
        </w:rPr>
        <w:t>C.</w:t>
      </w:r>
      <w:r>
        <w:rPr>
          <w:rFonts w:hAnsi="宋体"/>
          <w:color w:val="000000"/>
          <w:szCs w:val="21"/>
        </w:rPr>
        <w:t>可以用于同一企业不同时期的比较</w:t>
      </w:r>
      <w:r>
        <w:rPr>
          <w:color w:val="000000"/>
          <w:szCs w:val="21"/>
        </w:rPr>
        <w:t xml:space="preserve">      D.</w:t>
      </w:r>
      <w:r>
        <w:rPr>
          <w:rFonts w:hAnsi="宋体"/>
          <w:color w:val="000000"/>
          <w:szCs w:val="21"/>
        </w:rPr>
        <w:t>不会导致企业的短期行为</w:t>
      </w:r>
    </w:p>
    <w:p>
      <w:pPr>
        <w:spacing w:line="360" w:lineRule="auto"/>
        <w:jc w:val="left"/>
        <w:rPr>
          <w:color w:val="000000"/>
          <w:szCs w:val="21"/>
        </w:rPr>
      </w:pPr>
      <w:r>
        <w:rPr>
          <w:rFonts w:hint="eastAsia"/>
          <w:color w:val="000000"/>
          <w:szCs w:val="21"/>
        </w:rPr>
        <w:t>14</w:t>
      </w:r>
      <w:r>
        <w:rPr>
          <w:color w:val="000000"/>
          <w:szCs w:val="21"/>
        </w:rPr>
        <w:t>.</w:t>
      </w:r>
      <w:r>
        <w:rPr>
          <w:rFonts w:hAnsi="宋体"/>
          <w:color w:val="000000"/>
          <w:szCs w:val="21"/>
        </w:rPr>
        <w:t>（</w:t>
      </w:r>
      <w:r>
        <w:rPr>
          <w:color w:val="000000"/>
          <w:szCs w:val="21"/>
        </w:rPr>
        <w:t>   </w:t>
      </w:r>
      <w:r>
        <w:rPr>
          <w:rFonts w:hAnsi="宋体"/>
          <w:color w:val="000000"/>
          <w:szCs w:val="21"/>
        </w:rPr>
        <w:t>）是根据财务活动的历史资料，考虑现实的要求和条件，对企业未来的财务活动和财务成果做出科学的预计和测算。</w:t>
      </w:r>
    </w:p>
    <w:p>
      <w:pPr>
        <w:spacing w:line="360" w:lineRule="auto"/>
        <w:ind w:firstLine="420" w:firstLineChars="200"/>
        <w:jc w:val="left"/>
        <w:rPr>
          <w:color w:val="000000"/>
          <w:szCs w:val="21"/>
        </w:rPr>
      </w:pPr>
      <w:r>
        <w:rPr>
          <w:color w:val="000000"/>
          <w:szCs w:val="21"/>
        </w:rPr>
        <w:t>A.</w:t>
      </w:r>
      <w:r>
        <w:rPr>
          <w:rFonts w:hAnsi="宋体"/>
          <w:color w:val="000000"/>
          <w:szCs w:val="21"/>
        </w:rPr>
        <w:t>财务预测</w:t>
      </w:r>
      <w:r>
        <w:rPr>
          <w:color w:val="000000"/>
          <w:szCs w:val="21"/>
        </w:rPr>
        <w:t xml:space="preserve">        B.</w:t>
      </w:r>
      <w:r>
        <w:rPr>
          <w:rFonts w:hAnsi="宋体"/>
          <w:color w:val="000000"/>
          <w:szCs w:val="21"/>
        </w:rPr>
        <w:t>财务预算</w:t>
      </w:r>
      <w:r>
        <w:rPr>
          <w:color w:val="000000"/>
          <w:szCs w:val="21"/>
        </w:rPr>
        <w:t xml:space="preserve">       C.</w:t>
      </w:r>
      <w:r>
        <w:rPr>
          <w:rFonts w:hAnsi="宋体"/>
          <w:color w:val="000000"/>
          <w:szCs w:val="21"/>
        </w:rPr>
        <w:t>财务决策</w:t>
      </w:r>
      <w:r>
        <w:rPr>
          <w:color w:val="000000"/>
          <w:szCs w:val="21"/>
        </w:rPr>
        <w:t xml:space="preserve">        D.</w:t>
      </w:r>
      <w:r>
        <w:rPr>
          <w:rFonts w:hAnsi="宋体"/>
          <w:color w:val="000000"/>
          <w:szCs w:val="21"/>
        </w:rPr>
        <w:t>财务控制</w:t>
      </w:r>
      <w:r>
        <w:rPr>
          <w:color w:val="000000"/>
          <w:szCs w:val="21"/>
        </w:rPr>
        <w:t> </w:t>
      </w:r>
    </w:p>
    <w:p>
      <w:pPr>
        <w:spacing w:line="360" w:lineRule="auto"/>
        <w:jc w:val="left"/>
        <w:rPr>
          <w:color w:val="000000"/>
          <w:szCs w:val="21"/>
        </w:rPr>
      </w:pPr>
      <w:r>
        <w:rPr>
          <w:rFonts w:hint="eastAsia"/>
          <w:color w:val="000000"/>
          <w:szCs w:val="21"/>
        </w:rPr>
        <w:t>15</w:t>
      </w:r>
      <w:r>
        <w:rPr>
          <w:color w:val="000000"/>
          <w:szCs w:val="21"/>
        </w:rPr>
        <w:t>.</w:t>
      </w:r>
      <w:r>
        <w:rPr>
          <w:rFonts w:hAnsi="宋体"/>
          <w:color w:val="000000"/>
          <w:szCs w:val="21"/>
        </w:rPr>
        <w:t>某人进行一项投资，预计</w:t>
      </w:r>
      <w:r>
        <w:rPr>
          <w:color w:val="000000"/>
          <w:szCs w:val="21"/>
        </w:rPr>
        <w:t>6</w:t>
      </w:r>
      <w:r>
        <w:rPr>
          <w:rFonts w:hAnsi="宋体"/>
          <w:color w:val="000000"/>
          <w:szCs w:val="21"/>
        </w:rPr>
        <w:t>年后会获得收益</w:t>
      </w:r>
      <w:r>
        <w:rPr>
          <w:color w:val="000000"/>
          <w:szCs w:val="21"/>
        </w:rPr>
        <w:t>880</w:t>
      </w:r>
      <w:r>
        <w:rPr>
          <w:rFonts w:hAnsi="宋体"/>
          <w:color w:val="000000"/>
          <w:szCs w:val="21"/>
        </w:rPr>
        <w:t>元，在年利率为</w:t>
      </w:r>
      <w:r>
        <w:rPr>
          <w:color w:val="000000"/>
          <w:szCs w:val="21"/>
        </w:rPr>
        <w:t>5</w:t>
      </w:r>
      <w:r>
        <w:rPr>
          <w:rFonts w:hAnsi="宋体"/>
          <w:color w:val="000000"/>
          <w:szCs w:val="21"/>
        </w:rPr>
        <w:t>％的情况下，这笔收益的现值为（</w:t>
      </w:r>
      <w:r>
        <w:rPr>
          <w:color w:val="000000"/>
          <w:szCs w:val="21"/>
        </w:rPr>
        <w:t>   </w:t>
      </w:r>
      <w:r>
        <w:rPr>
          <w:rFonts w:hAnsi="宋体"/>
          <w:color w:val="000000"/>
          <w:szCs w:val="21"/>
        </w:rPr>
        <w:t>）元。</w:t>
      </w:r>
    </w:p>
    <w:p>
      <w:pPr>
        <w:spacing w:line="360" w:lineRule="auto"/>
        <w:ind w:firstLine="420" w:firstLineChars="200"/>
        <w:jc w:val="left"/>
        <w:rPr>
          <w:color w:val="000000"/>
          <w:szCs w:val="21"/>
        </w:rPr>
      </w:pPr>
      <w:r>
        <w:rPr>
          <w:color w:val="000000"/>
          <w:szCs w:val="21"/>
        </w:rPr>
        <w:t>A.4466.62          B.656.66         C.670.56           D.4455.66</w:t>
      </w:r>
    </w:p>
    <w:p>
      <w:pPr>
        <w:spacing w:line="360" w:lineRule="auto"/>
        <w:jc w:val="left"/>
        <w:rPr>
          <w:color w:val="000000"/>
          <w:szCs w:val="21"/>
        </w:rPr>
      </w:pPr>
      <w:r>
        <w:rPr>
          <w:rFonts w:hint="eastAsia"/>
          <w:color w:val="000000"/>
          <w:szCs w:val="21"/>
        </w:rPr>
        <w:t>16</w:t>
      </w:r>
      <w:r>
        <w:rPr>
          <w:color w:val="000000"/>
          <w:szCs w:val="21"/>
        </w:rPr>
        <w:t>.</w:t>
      </w:r>
      <w:r>
        <w:rPr>
          <w:rFonts w:hAnsi="宋体"/>
          <w:color w:val="000000"/>
          <w:szCs w:val="21"/>
        </w:rPr>
        <w:t>下列（</w:t>
      </w:r>
      <w:r>
        <w:rPr>
          <w:color w:val="000000"/>
          <w:szCs w:val="21"/>
        </w:rPr>
        <w:t>   </w:t>
      </w:r>
      <w:r>
        <w:rPr>
          <w:rFonts w:hAnsi="宋体"/>
          <w:color w:val="000000"/>
          <w:szCs w:val="21"/>
        </w:rPr>
        <w:t>）可以为企业筹集自有资金。</w:t>
      </w:r>
    </w:p>
    <w:p>
      <w:pPr>
        <w:spacing w:line="360" w:lineRule="auto"/>
        <w:ind w:left="420" w:hanging="420" w:hangingChars="200"/>
        <w:jc w:val="left"/>
        <w:rPr>
          <w:color w:val="000000"/>
          <w:szCs w:val="21"/>
        </w:rPr>
      </w:pPr>
      <w:r>
        <w:rPr>
          <w:rFonts w:hint="eastAsia"/>
          <w:color w:val="000000"/>
          <w:szCs w:val="21"/>
          <w:lang w:val="en-US" w:eastAsia="zh-CN"/>
        </w:rPr>
        <w:t xml:space="preserve">   </w:t>
      </w:r>
      <w:r>
        <w:rPr>
          <w:color w:val="000000"/>
          <w:szCs w:val="21"/>
        </w:rPr>
        <w:t>A.</w:t>
      </w:r>
      <w:r>
        <w:rPr>
          <w:rFonts w:hAnsi="宋体"/>
          <w:color w:val="000000"/>
          <w:szCs w:val="21"/>
        </w:rPr>
        <w:t>内部积累</w:t>
      </w:r>
      <w:r>
        <w:rPr>
          <w:color w:val="000000"/>
          <w:szCs w:val="21"/>
        </w:rPr>
        <w:t xml:space="preserve">        B.</w:t>
      </w:r>
      <w:r>
        <w:rPr>
          <w:rFonts w:hAnsi="宋体"/>
          <w:color w:val="000000"/>
          <w:szCs w:val="21"/>
        </w:rPr>
        <w:t>融资租赁</w:t>
      </w:r>
      <w:r>
        <w:rPr>
          <w:color w:val="000000"/>
          <w:szCs w:val="21"/>
        </w:rPr>
        <w:t xml:space="preserve">       C.</w:t>
      </w:r>
      <w:r>
        <w:rPr>
          <w:rFonts w:hAnsi="宋体"/>
          <w:color w:val="000000"/>
          <w:szCs w:val="21"/>
        </w:rPr>
        <w:t>发行债券</w:t>
      </w:r>
      <w:r>
        <w:rPr>
          <w:color w:val="000000"/>
          <w:szCs w:val="21"/>
        </w:rPr>
        <w:t xml:space="preserve">         D.</w:t>
      </w:r>
      <w:r>
        <w:rPr>
          <w:rFonts w:hAnsi="宋体"/>
          <w:color w:val="000000"/>
          <w:szCs w:val="21"/>
        </w:rPr>
        <w:t>向银行借款</w:t>
      </w:r>
    </w:p>
    <w:p>
      <w:pPr>
        <w:spacing w:line="360" w:lineRule="auto"/>
        <w:jc w:val="left"/>
        <w:rPr>
          <w:color w:val="000000"/>
          <w:szCs w:val="21"/>
        </w:rPr>
      </w:pPr>
      <w:r>
        <w:rPr>
          <w:rFonts w:hint="eastAsia"/>
          <w:color w:val="000000"/>
          <w:szCs w:val="21"/>
        </w:rPr>
        <w:t>17</w:t>
      </w:r>
      <w:r>
        <w:rPr>
          <w:color w:val="000000"/>
          <w:szCs w:val="21"/>
        </w:rPr>
        <w:t>.</w:t>
      </w:r>
      <w:r>
        <w:rPr>
          <w:rFonts w:hAnsi="宋体"/>
          <w:color w:val="000000"/>
          <w:szCs w:val="21"/>
        </w:rPr>
        <w:t>资金成本在企业筹资决策中的作用不包括（</w:t>
      </w:r>
      <w:r>
        <w:rPr>
          <w:color w:val="000000"/>
          <w:szCs w:val="21"/>
        </w:rPr>
        <w:t>   </w:t>
      </w:r>
      <w:r>
        <w:rPr>
          <w:rFonts w:hAnsi="宋体"/>
          <w:color w:val="000000"/>
          <w:szCs w:val="21"/>
        </w:rPr>
        <w:t>）。</w:t>
      </w:r>
    </w:p>
    <w:p>
      <w:pPr>
        <w:spacing w:line="360" w:lineRule="auto"/>
        <w:ind w:firstLine="420" w:firstLineChars="200"/>
        <w:jc w:val="left"/>
        <w:rPr>
          <w:color w:val="000000"/>
          <w:szCs w:val="21"/>
        </w:rPr>
      </w:pPr>
      <w:r>
        <w:rPr>
          <w:color w:val="000000"/>
          <w:szCs w:val="21"/>
        </w:rPr>
        <w:t>A.</w:t>
      </w:r>
      <w:r>
        <w:rPr>
          <w:rFonts w:hAnsi="宋体"/>
          <w:color w:val="000000"/>
          <w:szCs w:val="21"/>
        </w:rPr>
        <w:t>是企业选择资金来源的基本依据</w:t>
      </w:r>
      <w:r>
        <w:rPr>
          <w:color w:val="000000"/>
          <w:szCs w:val="21"/>
        </w:rPr>
        <w:t xml:space="preserve">          B.</w:t>
      </w:r>
      <w:r>
        <w:rPr>
          <w:rFonts w:hAnsi="宋体"/>
          <w:color w:val="000000"/>
          <w:szCs w:val="21"/>
        </w:rPr>
        <w:t>是企业选择筹资方式的参考标准</w:t>
      </w:r>
    </w:p>
    <w:p>
      <w:pPr>
        <w:spacing w:line="360" w:lineRule="auto"/>
        <w:ind w:firstLine="420" w:firstLineChars="200"/>
        <w:jc w:val="left"/>
        <w:rPr>
          <w:color w:val="000000"/>
          <w:szCs w:val="21"/>
        </w:rPr>
      </w:pPr>
      <w:r>
        <w:rPr>
          <w:color w:val="000000"/>
          <w:szCs w:val="21"/>
        </w:rPr>
        <w:t>C.</w:t>
      </w:r>
      <w:r>
        <w:rPr>
          <w:rFonts w:hAnsi="宋体"/>
          <w:color w:val="000000"/>
          <w:szCs w:val="21"/>
        </w:rPr>
        <w:t>作为计算净现值指标的折现率使用</w:t>
      </w:r>
      <w:r>
        <w:rPr>
          <w:color w:val="000000"/>
          <w:szCs w:val="21"/>
        </w:rPr>
        <w:t xml:space="preserve">        D.</w:t>
      </w:r>
      <w:r>
        <w:rPr>
          <w:rFonts w:hAnsi="宋体"/>
          <w:color w:val="000000"/>
          <w:szCs w:val="21"/>
        </w:rPr>
        <w:t>是确定最优资金结构的主要参数</w:t>
      </w:r>
    </w:p>
    <w:p>
      <w:pPr>
        <w:spacing w:line="360" w:lineRule="auto"/>
        <w:jc w:val="left"/>
        <w:rPr>
          <w:color w:val="000000"/>
          <w:szCs w:val="21"/>
        </w:rPr>
      </w:pPr>
      <w:r>
        <w:rPr>
          <w:rFonts w:hint="eastAsia"/>
          <w:color w:val="000000"/>
          <w:szCs w:val="21"/>
        </w:rPr>
        <w:t>18</w:t>
      </w:r>
      <w:r>
        <w:rPr>
          <w:color w:val="000000"/>
          <w:szCs w:val="21"/>
        </w:rPr>
        <w:t>.</w:t>
      </w:r>
      <w:r>
        <w:rPr>
          <w:rFonts w:hAnsi="宋体"/>
          <w:color w:val="000000"/>
          <w:szCs w:val="21"/>
        </w:rPr>
        <w:t>下列说法错误的是（</w:t>
      </w:r>
      <w:r>
        <w:rPr>
          <w:color w:val="000000"/>
          <w:szCs w:val="21"/>
        </w:rPr>
        <w:t>   </w:t>
      </w:r>
      <w:r>
        <w:rPr>
          <w:rFonts w:hAnsi="宋体"/>
          <w:color w:val="000000"/>
          <w:szCs w:val="21"/>
        </w:rPr>
        <w:t>）。</w:t>
      </w:r>
    </w:p>
    <w:p>
      <w:pPr>
        <w:spacing w:line="360" w:lineRule="auto"/>
        <w:ind w:firstLine="420" w:firstLineChars="200"/>
        <w:jc w:val="left"/>
        <w:rPr>
          <w:color w:val="000000"/>
          <w:szCs w:val="21"/>
        </w:rPr>
      </w:pPr>
      <w:r>
        <w:rPr>
          <w:color w:val="000000"/>
          <w:szCs w:val="21"/>
        </w:rPr>
        <w:t>A.</w:t>
      </w:r>
      <w:r>
        <w:rPr>
          <w:rFonts w:hAnsi="宋体"/>
          <w:color w:val="000000"/>
          <w:szCs w:val="21"/>
        </w:rPr>
        <w:t>拥有大量固定资产的企业主要通过长期负债和发行股票筹集资金</w:t>
      </w:r>
    </w:p>
    <w:p>
      <w:pPr>
        <w:spacing w:line="360" w:lineRule="auto"/>
        <w:ind w:firstLine="420" w:firstLineChars="200"/>
        <w:jc w:val="left"/>
        <w:rPr>
          <w:color w:val="000000"/>
          <w:szCs w:val="21"/>
        </w:rPr>
      </w:pPr>
      <w:r>
        <w:rPr>
          <w:color w:val="000000"/>
          <w:szCs w:val="21"/>
        </w:rPr>
        <w:t>B.</w:t>
      </w:r>
      <w:r>
        <w:rPr>
          <w:rFonts w:hAnsi="宋体"/>
          <w:color w:val="000000"/>
          <w:szCs w:val="21"/>
        </w:rPr>
        <w:t>资产适用于抵押贷款的公司举债额较多</w:t>
      </w:r>
    </w:p>
    <w:p>
      <w:pPr>
        <w:spacing w:line="360" w:lineRule="auto"/>
        <w:ind w:firstLine="420" w:firstLineChars="200"/>
        <w:jc w:val="left"/>
        <w:rPr>
          <w:color w:val="000000"/>
          <w:szCs w:val="21"/>
        </w:rPr>
      </w:pPr>
      <w:r>
        <w:rPr>
          <w:color w:val="000000"/>
          <w:szCs w:val="21"/>
        </w:rPr>
        <w:t>C.</w:t>
      </w:r>
      <w:r>
        <w:rPr>
          <w:rFonts w:hAnsi="宋体"/>
          <w:color w:val="000000"/>
          <w:szCs w:val="21"/>
        </w:rPr>
        <w:t>信用评级机构降低企业的信用等级会提高企业的资金成本</w:t>
      </w:r>
    </w:p>
    <w:p>
      <w:pPr>
        <w:spacing w:line="360" w:lineRule="auto"/>
        <w:ind w:firstLine="420" w:firstLineChars="200"/>
        <w:jc w:val="left"/>
        <w:rPr>
          <w:color w:val="000000"/>
          <w:szCs w:val="21"/>
        </w:rPr>
      </w:pPr>
      <w:r>
        <w:rPr>
          <w:color w:val="000000"/>
          <w:szCs w:val="21"/>
        </w:rPr>
        <w:t>D.</w:t>
      </w:r>
      <w:r>
        <w:rPr>
          <w:rFonts w:hAnsi="宋体"/>
          <w:color w:val="000000"/>
          <w:szCs w:val="21"/>
        </w:rPr>
        <w:t>以技术研究开发为主的公司负债往往很多</w:t>
      </w:r>
    </w:p>
    <w:p>
      <w:pPr>
        <w:spacing w:line="360" w:lineRule="auto"/>
        <w:rPr>
          <w:color w:val="000000"/>
          <w:szCs w:val="21"/>
        </w:rPr>
      </w:pPr>
      <w:r>
        <w:rPr>
          <w:rFonts w:hint="eastAsia"/>
          <w:color w:val="000000"/>
          <w:szCs w:val="21"/>
        </w:rPr>
        <w:t>19</w:t>
      </w:r>
      <w:r>
        <w:rPr>
          <w:color w:val="000000"/>
          <w:szCs w:val="21"/>
        </w:rPr>
        <w:t>.</w:t>
      </w:r>
      <w:r>
        <w:rPr>
          <w:rFonts w:hAnsi="宋体"/>
          <w:color w:val="000000"/>
          <w:szCs w:val="21"/>
        </w:rPr>
        <w:t>（</w:t>
      </w:r>
      <w:r>
        <w:rPr>
          <w:color w:val="000000"/>
          <w:szCs w:val="21"/>
        </w:rPr>
        <w:t>   </w:t>
      </w:r>
      <w:r>
        <w:rPr>
          <w:rFonts w:hAnsi="宋体"/>
          <w:color w:val="000000"/>
          <w:szCs w:val="21"/>
        </w:rPr>
        <w:t>）是指在投资收益不确定的情况下，按估计的各种可能收益水平及其发生的概率计算的加权平均数。</w:t>
      </w:r>
    </w:p>
    <w:p>
      <w:pPr>
        <w:spacing w:line="360" w:lineRule="auto"/>
        <w:ind w:firstLine="420" w:firstLineChars="200"/>
        <w:rPr>
          <w:color w:val="000000"/>
          <w:szCs w:val="21"/>
        </w:rPr>
      </w:pPr>
      <w:r>
        <w:rPr>
          <w:color w:val="000000"/>
          <w:szCs w:val="21"/>
        </w:rPr>
        <w:t>A.</w:t>
      </w:r>
      <w:r>
        <w:rPr>
          <w:rFonts w:hAnsi="宋体"/>
          <w:color w:val="000000"/>
          <w:szCs w:val="21"/>
        </w:rPr>
        <w:t>期望投资收益</w:t>
      </w:r>
      <w:r>
        <w:rPr>
          <w:color w:val="000000"/>
          <w:szCs w:val="21"/>
        </w:rPr>
        <w:t xml:space="preserve">     B.</w:t>
      </w:r>
      <w:r>
        <w:rPr>
          <w:rFonts w:hAnsi="宋体"/>
          <w:color w:val="000000"/>
          <w:szCs w:val="21"/>
        </w:rPr>
        <w:t>实际投资收益</w:t>
      </w:r>
      <w:r>
        <w:rPr>
          <w:color w:val="000000"/>
          <w:szCs w:val="21"/>
        </w:rPr>
        <w:t xml:space="preserve">     C.</w:t>
      </w:r>
      <w:r>
        <w:rPr>
          <w:rFonts w:hAnsi="宋体"/>
          <w:color w:val="000000"/>
          <w:szCs w:val="21"/>
        </w:rPr>
        <w:t>无风险收益</w:t>
      </w:r>
      <w:r>
        <w:rPr>
          <w:color w:val="000000"/>
          <w:szCs w:val="21"/>
        </w:rPr>
        <w:t xml:space="preserve">     D.</w:t>
      </w:r>
      <w:r>
        <w:rPr>
          <w:rFonts w:hAnsi="宋体"/>
          <w:color w:val="000000"/>
          <w:szCs w:val="21"/>
        </w:rPr>
        <w:t>必要投资收益</w:t>
      </w:r>
    </w:p>
    <w:p>
      <w:pPr>
        <w:spacing w:line="360" w:lineRule="auto"/>
        <w:rPr>
          <w:color w:val="000000"/>
          <w:szCs w:val="21"/>
        </w:rPr>
      </w:pPr>
      <w:r>
        <w:rPr>
          <w:rFonts w:hint="eastAsia"/>
          <w:color w:val="000000"/>
          <w:szCs w:val="21"/>
        </w:rPr>
        <w:t>20</w:t>
      </w:r>
      <w:r>
        <w:rPr>
          <w:color w:val="000000"/>
          <w:szCs w:val="21"/>
        </w:rPr>
        <w:t>.</w:t>
      </w:r>
      <w:r>
        <w:rPr>
          <w:rFonts w:hAnsi="宋体"/>
          <w:color w:val="000000"/>
          <w:szCs w:val="21"/>
        </w:rPr>
        <w:t>某企业投资方案</w:t>
      </w:r>
      <w:r>
        <w:rPr>
          <w:color w:val="000000"/>
          <w:szCs w:val="21"/>
        </w:rPr>
        <w:t>A</w:t>
      </w:r>
      <w:r>
        <w:rPr>
          <w:rFonts w:hAnsi="宋体"/>
          <w:color w:val="000000"/>
          <w:szCs w:val="21"/>
        </w:rPr>
        <w:t>的年销售收入为</w:t>
      </w:r>
      <w:r>
        <w:rPr>
          <w:color w:val="000000"/>
          <w:szCs w:val="21"/>
        </w:rPr>
        <w:t>200</w:t>
      </w:r>
      <w:r>
        <w:rPr>
          <w:rFonts w:hAnsi="宋体"/>
          <w:color w:val="000000"/>
          <w:szCs w:val="21"/>
        </w:rPr>
        <w:t>万元，年总成本为</w:t>
      </w:r>
      <w:r>
        <w:rPr>
          <w:color w:val="000000"/>
          <w:szCs w:val="21"/>
        </w:rPr>
        <w:t>100</w:t>
      </w:r>
      <w:r>
        <w:rPr>
          <w:rFonts w:hAnsi="宋体"/>
          <w:color w:val="000000"/>
          <w:szCs w:val="21"/>
        </w:rPr>
        <w:t>万元，年折旧为</w:t>
      </w:r>
      <w:r>
        <w:rPr>
          <w:color w:val="000000"/>
          <w:szCs w:val="21"/>
        </w:rPr>
        <w:t>10</w:t>
      </w:r>
      <w:r>
        <w:rPr>
          <w:rFonts w:hAnsi="宋体"/>
          <w:color w:val="000000"/>
          <w:szCs w:val="21"/>
        </w:rPr>
        <w:t>万元，无形资产年摊销额为</w:t>
      </w:r>
      <w:r>
        <w:rPr>
          <w:color w:val="000000"/>
          <w:szCs w:val="21"/>
        </w:rPr>
        <w:t>10</w:t>
      </w:r>
      <w:r>
        <w:rPr>
          <w:rFonts w:hAnsi="宋体"/>
          <w:color w:val="000000"/>
          <w:szCs w:val="21"/>
        </w:rPr>
        <w:t>万元，所得税率为</w:t>
      </w:r>
      <w:r>
        <w:rPr>
          <w:color w:val="000000"/>
          <w:szCs w:val="21"/>
        </w:rPr>
        <w:t>40%</w:t>
      </w:r>
      <w:r>
        <w:rPr>
          <w:rFonts w:hAnsi="宋体"/>
          <w:color w:val="000000"/>
          <w:szCs w:val="21"/>
        </w:rPr>
        <w:t>，则该项目经营现金净流量为（</w:t>
      </w:r>
      <w:r>
        <w:rPr>
          <w:color w:val="000000"/>
          <w:szCs w:val="21"/>
        </w:rPr>
        <w:t>   </w:t>
      </w:r>
      <w:r>
        <w:rPr>
          <w:rFonts w:hAnsi="宋体"/>
          <w:color w:val="000000"/>
          <w:szCs w:val="21"/>
        </w:rPr>
        <w:t>）。</w:t>
      </w:r>
    </w:p>
    <w:p>
      <w:pPr>
        <w:spacing w:line="360" w:lineRule="auto"/>
        <w:ind w:firstLine="420" w:firstLineChars="200"/>
        <w:rPr>
          <w:color w:val="000000"/>
          <w:szCs w:val="21"/>
        </w:rPr>
      </w:pPr>
      <w:r>
        <w:rPr>
          <w:color w:val="000000"/>
          <w:szCs w:val="21"/>
        </w:rPr>
        <w:t>A.80</w:t>
      </w:r>
      <w:r>
        <w:rPr>
          <w:rFonts w:hAnsi="宋体"/>
          <w:color w:val="000000"/>
          <w:szCs w:val="21"/>
        </w:rPr>
        <w:t>万元</w:t>
      </w:r>
      <w:r>
        <w:rPr>
          <w:color w:val="000000"/>
          <w:szCs w:val="21"/>
        </w:rPr>
        <w:t xml:space="preserve">         B.92</w:t>
      </w:r>
      <w:r>
        <w:rPr>
          <w:rFonts w:hAnsi="宋体"/>
          <w:color w:val="000000"/>
          <w:szCs w:val="21"/>
        </w:rPr>
        <w:t>万元</w:t>
      </w:r>
      <w:r>
        <w:rPr>
          <w:color w:val="000000"/>
          <w:szCs w:val="21"/>
        </w:rPr>
        <w:t xml:space="preserve">       C.60</w:t>
      </w:r>
      <w:r>
        <w:rPr>
          <w:rFonts w:hAnsi="宋体"/>
          <w:color w:val="000000"/>
          <w:szCs w:val="21"/>
        </w:rPr>
        <w:t>万元</w:t>
      </w:r>
      <w:r>
        <w:rPr>
          <w:color w:val="000000"/>
          <w:szCs w:val="21"/>
        </w:rPr>
        <w:t xml:space="preserve">       D.50</w:t>
      </w:r>
      <w:r>
        <w:rPr>
          <w:rFonts w:hAnsi="宋体"/>
          <w:color w:val="000000"/>
          <w:szCs w:val="21"/>
        </w:rPr>
        <w:t>万元</w:t>
      </w:r>
    </w:p>
    <w:p>
      <w:pPr>
        <w:spacing w:line="360" w:lineRule="auto"/>
        <w:rPr>
          <w:color w:val="000000"/>
          <w:szCs w:val="21"/>
        </w:rPr>
      </w:pPr>
      <w:r>
        <w:rPr>
          <w:rFonts w:hint="eastAsia"/>
          <w:color w:val="000000"/>
          <w:szCs w:val="21"/>
        </w:rPr>
        <w:t>21</w:t>
      </w:r>
      <w:r>
        <w:rPr>
          <w:color w:val="000000"/>
          <w:szCs w:val="21"/>
        </w:rPr>
        <w:t>.</w:t>
      </w:r>
      <w:r>
        <w:rPr>
          <w:rFonts w:hAnsi="宋体"/>
          <w:color w:val="000000"/>
          <w:szCs w:val="21"/>
        </w:rPr>
        <w:t>长期债券投资的目的是（</w:t>
      </w:r>
      <w:r>
        <w:rPr>
          <w:color w:val="000000"/>
          <w:szCs w:val="21"/>
        </w:rPr>
        <w:t>   </w:t>
      </w:r>
      <w:r>
        <w:rPr>
          <w:rFonts w:hAnsi="宋体"/>
          <w:color w:val="000000"/>
          <w:szCs w:val="21"/>
        </w:rPr>
        <w:t>）。</w:t>
      </w:r>
    </w:p>
    <w:p>
      <w:pPr>
        <w:spacing w:line="360" w:lineRule="auto"/>
        <w:ind w:firstLine="420" w:firstLineChars="200"/>
        <w:rPr>
          <w:color w:val="000000"/>
          <w:szCs w:val="21"/>
        </w:rPr>
      </w:pPr>
      <w:r>
        <w:rPr>
          <w:color w:val="000000"/>
          <w:szCs w:val="21"/>
        </w:rPr>
        <w:t>A.</w:t>
      </w:r>
      <w:r>
        <w:rPr>
          <w:rFonts w:hAnsi="宋体"/>
          <w:color w:val="000000"/>
          <w:szCs w:val="21"/>
        </w:rPr>
        <w:t>合理利用暂时闲置的资金</w:t>
      </w:r>
      <w:r>
        <w:rPr>
          <w:color w:val="000000"/>
          <w:szCs w:val="21"/>
        </w:rPr>
        <w:t xml:space="preserve">          B.</w:t>
      </w:r>
      <w:r>
        <w:rPr>
          <w:rFonts w:hAnsi="宋体"/>
          <w:color w:val="000000"/>
          <w:szCs w:val="21"/>
        </w:rPr>
        <w:t>调节现金余额</w:t>
      </w:r>
    </w:p>
    <w:p>
      <w:pPr>
        <w:spacing w:line="360" w:lineRule="auto"/>
        <w:ind w:firstLine="420" w:firstLineChars="200"/>
        <w:rPr>
          <w:color w:val="000000"/>
          <w:szCs w:val="21"/>
        </w:rPr>
      </w:pPr>
      <w:r>
        <w:rPr>
          <w:color w:val="000000"/>
          <w:szCs w:val="21"/>
        </w:rPr>
        <w:t>C.</w:t>
      </w:r>
      <w:r>
        <w:rPr>
          <w:rFonts w:hAnsi="宋体"/>
          <w:color w:val="000000"/>
          <w:szCs w:val="21"/>
        </w:rPr>
        <w:t>获得稳定收益</w:t>
      </w:r>
      <w:r>
        <w:rPr>
          <w:color w:val="000000"/>
          <w:szCs w:val="21"/>
        </w:rPr>
        <w:t xml:space="preserve">                    D.</w:t>
      </w:r>
      <w:r>
        <w:rPr>
          <w:rFonts w:hAnsi="宋体"/>
          <w:color w:val="000000"/>
          <w:szCs w:val="21"/>
        </w:rPr>
        <w:t>获得企业的控制权</w:t>
      </w:r>
    </w:p>
    <w:p>
      <w:pPr>
        <w:spacing w:line="360" w:lineRule="auto"/>
        <w:rPr>
          <w:color w:val="000000"/>
          <w:szCs w:val="21"/>
        </w:rPr>
      </w:pPr>
      <w:r>
        <w:rPr>
          <w:rFonts w:hint="eastAsia"/>
          <w:color w:val="000000"/>
          <w:szCs w:val="21"/>
        </w:rPr>
        <w:t>22</w:t>
      </w:r>
      <w:r>
        <w:rPr>
          <w:color w:val="000000"/>
          <w:szCs w:val="21"/>
        </w:rPr>
        <w:t>.</w:t>
      </w:r>
      <w:r>
        <w:rPr>
          <w:rFonts w:hAnsi="宋体"/>
          <w:color w:val="000000"/>
          <w:szCs w:val="21"/>
        </w:rPr>
        <w:t>在现金持有量的成本分析模式和存货模式中均需要考虑的因素包括（</w:t>
      </w:r>
      <w:r>
        <w:rPr>
          <w:color w:val="000000"/>
          <w:szCs w:val="21"/>
        </w:rPr>
        <w:t>   </w:t>
      </w:r>
      <w:r>
        <w:rPr>
          <w:rFonts w:hAnsi="宋体"/>
          <w:color w:val="000000"/>
          <w:szCs w:val="21"/>
        </w:rPr>
        <w:t>）。</w:t>
      </w:r>
    </w:p>
    <w:p>
      <w:pPr>
        <w:spacing w:line="360" w:lineRule="auto"/>
        <w:ind w:firstLine="420" w:firstLineChars="200"/>
        <w:rPr>
          <w:color w:val="000000"/>
          <w:szCs w:val="21"/>
        </w:rPr>
      </w:pPr>
      <w:r>
        <w:rPr>
          <w:color w:val="000000"/>
          <w:szCs w:val="21"/>
        </w:rPr>
        <w:t>A.</w:t>
      </w:r>
      <w:r>
        <w:rPr>
          <w:rFonts w:hAnsi="宋体"/>
          <w:color w:val="000000"/>
          <w:szCs w:val="21"/>
        </w:rPr>
        <w:t>管理成本</w:t>
      </w:r>
      <w:r>
        <w:rPr>
          <w:color w:val="000000"/>
          <w:szCs w:val="21"/>
        </w:rPr>
        <w:t xml:space="preserve">       B.</w:t>
      </w:r>
      <w:r>
        <w:rPr>
          <w:rFonts w:hAnsi="宋体"/>
          <w:color w:val="000000"/>
          <w:szCs w:val="21"/>
        </w:rPr>
        <w:t>转换成本</w:t>
      </w:r>
      <w:r>
        <w:rPr>
          <w:color w:val="000000"/>
          <w:szCs w:val="21"/>
        </w:rPr>
        <w:t xml:space="preserve">       C.</w:t>
      </w:r>
      <w:r>
        <w:rPr>
          <w:rFonts w:hAnsi="宋体"/>
          <w:color w:val="000000"/>
          <w:szCs w:val="21"/>
        </w:rPr>
        <w:t>短缺成本</w:t>
      </w:r>
      <w:r>
        <w:rPr>
          <w:color w:val="000000"/>
          <w:szCs w:val="21"/>
        </w:rPr>
        <w:t xml:space="preserve">       D.</w:t>
      </w:r>
      <w:r>
        <w:rPr>
          <w:rFonts w:hAnsi="宋体"/>
          <w:color w:val="000000"/>
          <w:szCs w:val="21"/>
        </w:rPr>
        <w:t>机会成本</w:t>
      </w:r>
    </w:p>
    <w:p>
      <w:pPr>
        <w:spacing w:line="360" w:lineRule="auto"/>
        <w:rPr>
          <w:color w:val="000000"/>
          <w:szCs w:val="21"/>
        </w:rPr>
      </w:pPr>
      <w:r>
        <w:rPr>
          <w:rFonts w:hint="eastAsia"/>
          <w:color w:val="000000"/>
          <w:szCs w:val="21"/>
        </w:rPr>
        <w:t>23</w:t>
      </w:r>
      <w:r>
        <w:rPr>
          <w:color w:val="000000"/>
          <w:szCs w:val="21"/>
        </w:rPr>
        <w:t>.</w:t>
      </w:r>
      <w:r>
        <w:rPr>
          <w:rFonts w:hAnsi="宋体"/>
          <w:color w:val="000000"/>
          <w:szCs w:val="21"/>
        </w:rPr>
        <w:t>利润分配应遵循的原则中（</w:t>
      </w:r>
      <w:r>
        <w:rPr>
          <w:color w:val="000000"/>
          <w:szCs w:val="21"/>
        </w:rPr>
        <w:t> </w:t>
      </w:r>
      <w:r>
        <w:rPr>
          <w:rFonts w:hAnsi="宋体"/>
          <w:color w:val="000000"/>
          <w:szCs w:val="21"/>
        </w:rPr>
        <w:t>）是正确处理投资者利益关系的关键。</w:t>
      </w:r>
    </w:p>
    <w:p>
      <w:pPr>
        <w:spacing w:line="360" w:lineRule="auto"/>
        <w:ind w:firstLine="420" w:firstLineChars="200"/>
        <w:rPr>
          <w:color w:val="000000"/>
          <w:szCs w:val="21"/>
        </w:rPr>
      </w:pPr>
      <w:r>
        <w:rPr>
          <w:color w:val="000000"/>
          <w:szCs w:val="21"/>
        </w:rPr>
        <w:t>A.</w:t>
      </w:r>
      <w:r>
        <w:rPr>
          <w:rFonts w:hAnsi="宋体"/>
          <w:color w:val="000000"/>
          <w:szCs w:val="21"/>
        </w:rPr>
        <w:t>依法分配原则</w:t>
      </w:r>
      <w:r>
        <w:rPr>
          <w:color w:val="000000"/>
          <w:szCs w:val="21"/>
        </w:rPr>
        <w:t xml:space="preserve">                  B.</w:t>
      </w:r>
      <w:r>
        <w:rPr>
          <w:rFonts w:hAnsi="宋体"/>
          <w:color w:val="000000"/>
          <w:szCs w:val="21"/>
        </w:rPr>
        <w:t>兼顾各方面利益原则</w:t>
      </w:r>
    </w:p>
    <w:p>
      <w:pPr>
        <w:spacing w:line="360" w:lineRule="auto"/>
        <w:ind w:firstLine="420" w:firstLineChars="200"/>
        <w:rPr>
          <w:color w:val="000000"/>
          <w:szCs w:val="21"/>
        </w:rPr>
      </w:pPr>
      <w:r>
        <w:rPr>
          <w:color w:val="000000"/>
          <w:szCs w:val="21"/>
        </w:rPr>
        <w:t>C.</w:t>
      </w:r>
      <w:r>
        <w:rPr>
          <w:rFonts w:hAnsi="宋体"/>
          <w:color w:val="000000"/>
          <w:szCs w:val="21"/>
        </w:rPr>
        <w:t>分配与积累并重原则</w:t>
      </w:r>
      <w:r>
        <w:rPr>
          <w:color w:val="000000"/>
          <w:szCs w:val="21"/>
        </w:rPr>
        <w:t xml:space="preserve">            D.</w:t>
      </w:r>
      <w:r>
        <w:rPr>
          <w:rFonts w:hAnsi="宋体"/>
          <w:color w:val="000000"/>
          <w:szCs w:val="21"/>
        </w:rPr>
        <w:t>投资与收益对等原则</w:t>
      </w:r>
    </w:p>
    <w:p>
      <w:pPr>
        <w:spacing w:line="360" w:lineRule="auto"/>
        <w:rPr>
          <w:color w:val="000000"/>
          <w:szCs w:val="21"/>
        </w:rPr>
      </w:pPr>
      <w:r>
        <w:rPr>
          <w:rFonts w:hint="eastAsia"/>
          <w:color w:val="000000"/>
          <w:szCs w:val="21"/>
        </w:rPr>
        <w:t>24</w:t>
      </w:r>
      <w:r>
        <w:rPr>
          <w:color w:val="000000"/>
          <w:szCs w:val="21"/>
        </w:rPr>
        <w:t>.</w:t>
      </w:r>
      <w:r>
        <w:rPr>
          <w:rFonts w:hAnsi="宋体"/>
          <w:color w:val="000000"/>
          <w:szCs w:val="21"/>
        </w:rPr>
        <w:t>某公司</w:t>
      </w:r>
      <w:r>
        <w:rPr>
          <w:color w:val="000000"/>
          <w:szCs w:val="21"/>
        </w:rPr>
        <w:t>2005</w:t>
      </w:r>
      <w:r>
        <w:rPr>
          <w:rFonts w:hAnsi="宋体"/>
          <w:color w:val="000000"/>
          <w:szCs w:val="21"/>
        </w:rPr>
        <w:t>年度净利润为</w:t>
      </w:r>
      <w:r>
        <w:rPr>
          <w:color w:val="000000"/>
          <w:szCs w:val="21"/>
        </w:rPr>
        <w:t>4000</w:t>
      </w:r>
      <w:r>
        <w:rPr>
          <w:rFonts w:hAnsi="宋体"/>
          <w:color w:val="000000"/>
          <w:szCs w:val="21"/>
        </w:rPr>
        <w:t>万元，预计</w:t>
      </w:r>
      <w:r>
        <w:rPr>
          <w:color w:val="000000"/>
          <w:szCs w:val="21"/>
        </w:rPr>
        <w:t>2006</w:t>
      </w:r>
      <w:r>
        <w:rPr>
          <w:rFonts w:hAnsi="宋体"/>
          <w:color w:val="000000"/>
          <w:szCs w:val="21"/>
        </w:rPr>
        <w:t>年投资所需的资金为</w:t>
      </w:r>
      <w:r>
        <w:rPr>
          <w:color w:val="000000"/>
          <w:szCs w:val="21"/>
        </w:rPr>
        <w:t>2000</w:t>
      </w:r>
      <w:r>
        <w:rPr>
          <w:rFonts w:hAnsi="宋体"/>
          <w:color w:val="000000"/>
          <w:szCs w:val="21"/>
        </w:rPr>
        <w:t>万元，假设目标资金结构是负债资金占</w:t>
      </w:r>
      <w:r>
        <w:rPr>
          <w:color w:val="000000"/>
          <w:szCs w:val="21"/>
        </w:rPr>
        <w:t>60%</w:t>
      </w:r>
      <w:r>
        <w:rPr>
          <w:rFonts w:hAnsi="宋体"/>
          <w:color w:val="000000"/>
          <w:szCs w:val="21"/>
        </w:rPr>
        <w:t>，企业按照</w:t>
      </w:r>
      <w:r>
        <w:rPr>
          <w:color w:val="000000"/>
          <w:szCs w:val="21"/>
        </w:rPr>
        <w:t>15%</w:t>
      </w:r>
      <w:r>
        <w:rPr>
          <w:rFonts w:hAnsi="宋体"/>
          <w:color w:val="000000"/>
          <w:szCs w:val="21"/>
        </w:rPr>
        <w:t>的比例计提盈余公积金，公司采用剩余股利政策发放股利，则</w:t>
      </w:r>
      <w:r>
        <w:rPr>
          <w:color w:val="000000"/>
          <w:szCs w:val="21"/>
        </w:rPr>
        <w:t>2005</w:t>
      </w:r>
      <w:r>
        <w:rPr>
          <w:rFonts w:hAnsi="宋体"/>
          <w:color w:val="000000"/>
          <w:szCs w:val="21"/>
        </w:rPr>
        <w:t>年度企业可向投资者支付的股利为（</w:t>
      </w:r>
      <w:r>
        <w:rPr>
          <w:color w:val="000000"/>
          <w:szCs w:val="21"/>
        </w:rPr>
        <w:t>   </w:t>
      </w:r>
      <w:r>
        <w:rPr>
          <w:rFonts w:hAnsi="宋体"/>
          <w:color w:val="000000"/>
          <w:szCs w:val="21"/>
        </w:rPr>
        <w:t>）万元。</w:t>
      </w:r>
    </w:p>
    <w:p>
      <w:pPr>
        <w:spacing w:line="360" w:lineRule="auto"/>
        <w:ind w:firstLine="420" w:firstLineChars="200"/>
        <w:rPr>
          <w:color w:val="000000"/>
          <w:szCs w:val="21"/>
        </w:rPr>
      </w:pPr>
      <w:r>
        <w:rPr>
          <w:color w:val="000000"/>
          <w:szCs w:val="21"/>
        </w:rPr>
        <w:t>A.2600        B.3200        C.2800        D.2200</w:t>
      </w:r>
    </w:p>
    <w:p>
      <w:pPr>
        <w:spacing w:line="360" w:lineRule="auto"/>
        <w:jc w:val="left"/>
        <w:rPr>
          <w:color w:val="000000"/>
          <w:szCs w:val="21"/>
        </w:rPr>
      </w:pPr>
    </w:p>
    <w:p>
      <w:pPr>
        <w:spacing w:line="360" w:lineRule="auto"/>
        <w:jc w:val="left"/>
        <w:rPr>
          <w:b/>
          <w:color w:val="000000"/>
          <w:szCs w:val="21"/>
        </w:rPr>
      </w:pPr>
      <w:r>
        <w:rPr>
          <w:rFonts w:hAnsi="宋体"/>
          <w:b/>
          <w:color w:val="000000"/>
          <w:szCs w:val="21"/>
        </w:rPr>
        <w:t>二</w:t>
      </w:r>
      <w:r>
        <w:rPr>
          <w:rFonts w:hint="eastAsia" w:hAnsi="宋体"/>
          <w:b/>
          <w:color w:val="000000"/>
          <w:szCs w:val="21"/>
        </w:rPr>
        <w:t>、</w:t>
      </w:r>
      <w:r>
        <w:rPr>
          <w:rFonts w:hAnsi="宋体"/>
          <w:b/>
          <w:color w:val="000000"/>
          <w:szCs w:val="21"/>
        </w:rPr>
        <w:t>多项选择题</w:t>
      </w:r>
    </w:p>
    <w:p>
      <w:pPr>
        <w:spacing w:line="360" w:lineRule="auto"/>
        <w:rPr>
          <w:color w:val="000000"/>
          <w:szCs w:val="21"/>
        </w:rPr>
      </w:pPr>
      <w:r>
        <w:rPr>
          <w:rFonts w:hint="eastAsia"/>
          <w:color w:val="000000"/>
          <w:szCs w:val="21"/>
        </w:rPr>
        <w:t>1</w:t>
      </w:r>
      <w:r>
        <w:rPr>
          <w:color w:val="000000"/>
          <w:szCs w:val="21"/>
        </w:rPr>
        <w:t>.</w:t>
      </w:r>
      <w:r>
        <w:rPr>
          <w:rFonts w:hAnsi="宋体"/>
          <w:color w:val="000000"/>
          <w:szCs w:val="21"/>
        </w:rPr>
        <w:t>影响企业财务管理的经济环境因素主要包括（</w:t>
      </w:r>
      <w:r>
        <w:rPr>
          <w:color w:val="000000"/>
          <w:szCs w:val="21"/>
        </w:rPr>
        <w:t>   </w:t>
      </w:r>
      <w:r>
        <w:rPr>
          <w:rFonts w:hAnsi="宋体"/>
          <w:color w:val="000000"/>
          <w:szCs w:val="21"/>
        </w:rPr>
        <w:t>）。</w:t>
      </w:r>
    </w:p>
    <w:p>
      <w:pPr>
        <w:spacing w:line="360" w:lineRule="auto"/>
        <w:ind w:firstLine="420" w:firstLineChars="200"/>
        <w:rPr>
          <w:color w:val="000000"/>
          <w:szCs w:val="21"/>
        </w:rPr>
      </w:pPr>
      <w:r>
        <w:rPr>
          <w:color w:val="000000"/>
          <w:szCs w:val="21"/>
        </w:rPr>
        <w:t>A.</w:t>
      </w:r>
      <w:r>
        <w:rPr>
          <w:rFonts w:hAnsi="宋体"/>
          <w:color w:val="000000"/>
          <w:szCs w:val="21"/>
        </w:rPr>
        <w:t>企业组织形式</w:t>
      </w:r>
      <w:r>
        <w:rPr>
          <w:color w:val="000000"/>
          <w:szCs w:val="21"/>
        </w:rPr>
        <w:t>B.</w:t>
      </w:r>
      <w:r>
        <w:rPr>
          <w:rFonts w:hAnsi="宋体"/>
          <w:color w:val="000000"/>
          <w:szCs w:val="21"/>
        </w:rPr>
        <w:t>经济周期</w:t>
      </w:r>
      <w:r>
        <w:rPr>
          <w:color w:val="000000"/>
          <w:szCs w:val="21"/>
        </w:rPr>
        <w:t>C.</w:t>
      </w:r>
      <w:r>
        <w:rPr>
          <w:rFonts w:hAnsi="宋体"/>
          <w:color w:val="000000"/>
          <w:szCs w:val="21"/>
        </w:rPr>
        <w:t>经济发展水平</w:t>
      </w:r>
      <w:r>
        <w:rPr>
          <w:color w:val="000000"/>
          <w:szCs w:val="21"/>
        </w:rPr>
        <w:t>D.</w:t>
      </w:r>
      <w:r>
        <w:rPr>
          <w:rFonts w:hAnsi="宋体"/>
          <w:color w:val="000000"/>
          <w:szCs w:val="21"/>
        </w:rPr>
        <w:t>经济政策</w:t>
      </w:r>
    </w:p>
    <w:p>
      <w:pPr>
        <w:spacing w:line="360" w:lineRule="auto"/>
        <w:rPr>
          <w:color w:val="000000"/>
          <w:szCs w:val="21"/>
        </w:rPr>
      </w:pPr>
      <w:r>
        <w:rPr>
          <w:rFonts w:hint="eastAsia"/>
          <w:color w:val="000000"/>
          <w:szCs w:val="21"/>
        </w:rPr>
        <w:t>2</w:t>
      </w:r>
      <w:r>
        <w:rPr>
          <w:color w:val="000000"/>
          <w:szCs w:val="21"/>
        </w:rPr>
        <w:t>.</w:t>
      </w:r>
      <w:r>
        <w:rPr>
          <w:rFonts w:hAnsi="宋体"/>
          <w:color w:val="000000"/>
          <w:szCs w:val="21"/>
        </w:rPr>
        <w:t>企业价值最大化目标的优点包括（</w:t>
      </w:r>
      <w:r>
        <w:rPr>
          <w:color w:val="000000"/>
          <w:szCs w:val="21"/>
        </w:rPr>
        <w:t>   </w:t>
      </w:r>
      <w:r>
        <w:rPr>
          <w:rFonts w:hAnsi="宋体"/>
          <w:color w:val="000000"/>
          <w:szCs w:val="21"/>
        </w:rPr>
        <w:t>）。</w:t>
      </w:r>
    </w:p>
    <w:p>
      <w:pPr>
        <w:spacing w:line="360" w:lineRule="auto"/>
        <w:ind w:firstLine="420" w:firstLineChars="200"/>
        <w:rPr>
          <w:color w:val="000000"/>
          <w:szCs w:val="21"/>
        </w:rPr>
      </w:pPr>
      <w:r>
        <w:rPr>
          <w:color w:val="000000"/>
          <w:szCs w:val="21"/>
        </w:rPr>
        <w:t>A.</w:t>
      </w:r>
      <w:r>
        <w:rPr>
          <w:rFonts w:hAnsi="宋体"/>
          <w:color w:val="000000"/>
          <w:szCs w:val="21"/>
        </w:rPr>
        <w:t>考虑了投资的风险价值</w:t>
      </w:r>
      <w:r>
        <w:rPr>
          <w:color w:val="000000"/>
          <w:szCs w:val="21"/>
        </w:rPr>
        <w:t>B.</w:t>
      </w:r>
      <w:r>
        <w:rPr>
          <w:rFonts w:hAnsi="宋体"/>
          <w:color w:val="000000"/>
          <w:szCs w:val="21"/>
        </w:rPr>
        <w:t>反映了资本保值增值的要求</w:t>
      </w:r>
    </w:p>
    <w:p>
      <w:pPr>
        <w:spacing w:line="360" w:lineRule="auto"/>
        <w:ind w:firstLine="420" w:firstLineChars="200"/>
        <w:rPr>
          <w:color w:val="000000"/>
          <w:szCs w:val="21"/>
        </w:rPr>
      </w:pPr>
      <w:r>
        <w:rPr>
          <w:color w:val="000000"/>
          <w:szCs w:val="21"/>
        </w:rPr>
        <w:t>C.</w:t>
      </w:r>
      <w:r>
        <w:rPr>
          <w:rFonts w:hAnsi="宋体"/>
          <w:color w:val="000000"/>
          <w:szCs w:val="21"/>
        </w:rPr>
        <w:t>有利于克服管理上的片面性</w:t>
      </w:r>
      <w:r>
        <w:rPr>
          <w:color w:val="000000"/>
          <w:szCs w:val="21"/>
        </w:rPr>
        <w:t>D.</w:t>
      </w:r>
      <w:r>
        <w:rPr>
          <w:rFonts w:hAnsi="宋体"/>
          <w:color w:val="000000"/>
          <w:szCs w:val="21"/>
        </w:rPr>
        <w:t>有利于社会资源的合理配置</w:t>
      </w:r>
    </w:p>
    <w:p>
      <w:pPr>
        <w:spacing w:line="360" w:lineRule="auto"/>
        <w:rPr>
          <w:color w:val="000000"/>
          <w:szCs w:val="21"/>
        </w:rPr>
      </w:pPr>
      <w:r>
        <w:rPr>
          <w:rFonts w:hint="eastAsia"/>
          <w:color w:val="000000"/>
          <w:szCs w:val="21"/>
        </w:rPr>
        <w:t>3</w:t>
      </w:r>
      <w:r>
        <w:rPr>
          <w:color w:val="000000"/>
          <w:szCs w:val="21"/>
        </w:rPr>
        <w:t>.</w:t>
      </w:r>
      <w:r>
        <w:rPr>
          <w:rFonts w:hAnsi="宋体"/>
          <w:color w:val="000000"/>
          <w:szCs w:val="21"/>
        </w:rPr>
        <w:t>风险由（</w:t>
      </w:r>
      <w:r>
        <w:rPr>
          <w:color w:val="000000"/>
          <w:szCs w:val="21"/>
        </w:rPr>
        <w:t>   </w:t>
      </w:r>
      <w:r>
        <w:rPr>
          <w:rFonts w:hAnsi="宋体"/>
          <w:color w:val="000000"/>
          <w:szCs w:val="21"/>
        </w:rPr>
        <w:t>）组成。</w:t>
      </w:r>
    </w:p>
    <w:p>
      <w:pPr>
        <w:spacing w:line="360" w:lineRule="auto"/>
        <w:ind w:firstLine="420" w:firstLineChars="200"/>
        <w:rPr>
          <w:color w:val="000000"/>
          <w:szCs w:val="21"/>
        </w:rPr>
      </w:pPr>
      <w:r>
        <w:rPr>
          <w:color w:val="000000"/>
          <w:szCs w:val="21"/>
        </w:rPr>
        <w:t>A.</w:t>
      </w:r>
      <w:r>
        <w:rPr>
          <w:rFonts w:hAnsi="宋体"/>
          <w:color w:val="000000"/>
          <w:szCs w:val="21"/>
        </w:rPr>
        <w:t>风险因素</w:t>
      </w:r>
      <w:r>
        <w:rPr>
          <w:color w:val="000000"/>
          <w:szCs w:val="21"/>
        </w:rPr>
        <w:t>B.</w:t>
      </w:r>
      <w:r>
        <w:rPr>
          <w:rFonts w:hAnsi="宋体"/>
          <w:color w:val="000000"/>
          <w:szCs w:val="21"/>
        </w:rPr>
        <w:t>风险事故</w:t>
      </w:r>
      <w:r>
        <w:rPr>
          <w:color w:val="000000"/>
          <w:szCs w:val="21"/>
        </w:rPr>
        <w:t>C.</w:t>
      </w:r>
      <w:r>
        <w:rPr>
          <w:rFonts w:hAnsi="宋体"/>
          <w:color w:val="000000"/>
          <w:szCs w:val="21"/>
        </w:rPr>
        <w:t>风险损失</w:t>
      </w:r>
      <w:r>
        <w:rPr>
          <w:color w:val="000000"/>
          <w:szCs w:val="21"/>
        </w:rPr>
        <w:t>D.</w:t>
      </w:r>
      <w:r>
        <w:rPr>
          <w:rFonts w:hAnsi="宋体"/>
          <w:color w:val="000000"/>
          <w:szCs w:val="21"/>
        </w:rPr>
        <w:t>风险收益</w:t>
      </w:r>
    </w:p>
    <w:p>
      <w:pPr>
        <w:spacing w:line="360" w:lineRule="auto"/>
        <w:rPr>
          <w:color w:val="000000"/>
          <w:szCs w:val="21"/>
        </w:rPr>
      </w:pPr>
      <w:r>
        <w:rPr>
          <w:rFonts w:hint="eastAsia"/>
          <w:color w:val="000000"/>
          <w:szCs w:val="21"/>
        </w:rPr>
        <w:t>4</w:t>
      </w:r>
      <w:r>
        <w:rPr>
          <w:color w:val="000000"/>
          <w:szCs w:val="21"/>
        </w:rPr>
        <w:t>.</w:t>
      </w:r>
      <w:r>
        <w:rPr>
          <w:rFonts w:hAnsi="宋体"/>
          <w:color w:val="000000"/>
          <w:szCs w:val="21"/>
        </w:rPr>
        <w:t>股票的特征包括（</w:t>
      </w:r>
      <w:r>
        <w:rPr>
          <w:color w:val="000000"/>
          <w:szCs w:val="21"/>
        </w:rPr>
        <w:t>   </w:t>
      </w:r>
      <w:r>
        <w:rPr>
          <w:rFonts w:hAnsi="宋体"/>
          <w:color w:val="000000"/>
          <w:szCs w:val="21"/>
        </w:rPr>
        <w:t>）。</w:t>
      </w:r>
    </w:p>
    <w:p>
      <w:pPr>
        <w:spacing w:line="360" w:lineRule="auto"/>
        <w:ind w:firstLine="420" w:firstLineChars="200"/>
        <w:rPr>
          <w:color w:val="000000"/>
          <w:szCs w:val="21"/>
        </w:rPr>
      </w:pPr>
      <w:r>
        <w:rPr>
          <w:color w:val="000000"/>
          <w:szCs w:val="21"/>
        </w:rPr>
        <w:t>A.</w:t>
      </w:r>
      <w:r>
        <w:rPr>
          <w:rFonts w:hAnsi="宋体"/>
          <w:color w:val="000000"/>
          <w:szCs w:val="21"/>
        </w:rPr>
        <w:t>法定性</w:t>
      </w:r>
      <w:r>
        <w:rPr>
          <w:color w:val="000000"/>
          <w:szCs w:val="21"/>
        </w:rPr>
        <w:t>B.</w:t>
      </w:r>
      <w:r>
        <w:rPr>
          <w:rFonts w:hAnsi="宋体"/>
          <w:color w:val="000000"/>
          <w:szCs w:val="21"/>
        </w:rPr>
        <w:t>收益性</w:t>
      </w:r>
      <w:r>
        <w:rPr>
          <w:color w:val="000000"/>
          <w:szCs w:val="21"/>
        </w:rPr>
        <w:t>C.</w:t>
      </w:r>
      <w:r>
        <w:rPr>
          <w:rFonts w:hAnsi="宋体"/>
          <w:color w:val="000000"/>
          <w:szCs w:val="21"/>
        </w:rPr>
        <w:t>价格波动性</w:t>
      </w:r>
      <w:r>
        <w:rPr>
          <w:color w:val="000000"/>
          <w:szCs w:val="21"/>
        </w:rPr>
        <w:t>D.</w:t>
      </w:r>
      <w:r>
        <w:rPr>
          <w:rFonts w:hAnsi="宋体"/>
          <w:color w:val="000000"/>
          <w:szCs w:val="21"/>
        </w:rPr>
        <w:t>参与性</w:t>
      </w:r>
    </w:p>
    <w:p>
      <w:pPr>
        <w:spacing w:line="360" w:lineRule="auto"/>
        <w:rPr>
          <w:color w:val="000000"/>
          <w:szCs w:val="21"/>
        </w:rPr>
      </w:pPr>
      <w:r>
        <w:rPr>
          <w:rFonts w:hint="eastAsia"/>
          <w:color w:val="000000"/>
          <w:szCs w:val="21"/>
        </w:rPr>
        <w:t>5</w:t>
      </w:r>
      <w:r>
        <w:rPr>
          <w:color w:val="000000"/>
          <w:szCs w:val="21"/>
        </w:rPr>
        <w:t>.</w:t>
      </w:r>
      <w:r>
        <w:rPr>
          <w:rFonts w:hAnsi="宋体"/>
          <w:color w:val="000000"/>
          <w:szCs w:val="21"/>
        </w:rPr>
        <w:t>资金成本并不是企业筹资决策中所要考虑的唯一因素，企业筹资还需要考虑（</w:t>
      </w:r>
      <w:r>
        <w:rPr>
          <w:color w:val="000000"/>
          <w:szCs w:val="21"/>
        </w:rPr>
        <w:t>   </w:t>
      </w:r>
      <w:r>
        <w:rPr>
          <w:rFonts w:hAnsi="宋体"/>
          <w:color w:val="000000"/>
          <w:szCs w:val="21"/>
        </w:rPr>
        <w:t>）。</w:t>
      </w:r>
    </w:p>
    <w:p>
      <w:pPr>
        <w:spacing w:line="360" w:lineRule="auto"/>
        <w:ind w:firstLine="420" w:firstLineChars="200"/>
        <w:rPr>
          <w:color w:val="000000"/>
          <w:szCs w:val="21"/>
        </w:rPr>
      </w:pPr>
      <w:r>
        <w:rPr>
          <w:color w:val="000000"/>
          <w:szCs w:val="21"/>
        </w:rPr>
        <w:t>A.</w:t>
      </w:r>
      <w:r>
        <w:rPr>
          <w:rFonts w:hAnsi="宋体"/>
          <w:color w:val="000000"/>
          <w:szCs w:val="21"/>
        </w:rPr>
        <w:t>财务风险</w:t>
      </w:r>
      <w:r>
        <w:rPr>
          <w:color w:val="000000"/>
          <w:szCs w:val="21"/>
        </w:rPr>
        <w:t>B.</w:t>
      </w:r>
      <w:r>
        <w:rPr>
          <w:rFonts w:hAnsi="宋体"/>
          <w:color w:val="000000"/>
          <w:szCs w:val="21"/>
        </w:rPr>
        <w:t>资金期限</w:t>
      </w:r>
      <w:r>
        <w:rPr>
          <w:color w:val="000000"/>
          <w:szCs w:val="21"/>
        </w:rPr>
        <w:t>C.</w:t>
      </w:r>
      <w:r>
        <w:rPr>
          <w:rFonts w:hAnsi="宋体"/>
          <w:color w:val="000000"/>
          <w:szCs w:val="21"/>
        </w:rPr>
        <w:t>偿还方式</w:t>
      </w:r>
      <w:r>
        <w:rPr>
          <w:color w:val="000000"/>
          <w:szCs w:val="21"/>
        </w:rPr>
        <w:t>D.</w:t>
      </w:r>
      <w:r>
        <w:rPr>
          <w:rFonts w:hAnsi="宋体"/>
          <w:color w:val="000000"/>
          <w:szCs w:val="21"/>
        </w:rPr>
        <w:t>限制条件</w:t>
      </w:r>
    </w:p>
    <w:p>
      <w:pPr>
        <w:spacing w:line="360" w:lineRule="auto"/>
        <w:rPr>
          <w:color w:val="000000"/>
          <w:szCs w:val="21"/>
        </w:rPr>
      </w:pPr>
      <w:r>
        <w:rPr>
          <w:rFonts w:hint="eastAsia"/>
          <w:color w:val="000000"/>
          <w:szCs w:val="21"/>
        </w:rPr>
        <w:t>6</w:t>
      </w:r>
      <w:r>
        <w:rPr>
          <w:color w:val="000000"/>
          <w:szCs w:val="21"/>
        </w:rPr>
        <w:t>.</w:t>
      </w:r>
      <w:r>
        <w:rPr>
          <w:rFonts w:hAnsi="宋体"/>
          <w:color w:val="000000"/>
          <w:szCs w:val="21"/>
        </w:rPr>
        <w:t>资本资产定价模型的假设条件包括（</w:t>
      </w:r>
      <w:r>
        <w:rPr>
          <w:color w:val="000000"/>
          <w:szCs w:val="21"/>
        </w:rPr>
        <w:t>   </w:t>
      </w:r>
      <w:r>
        <w:rPr>
          <w:rFonts w:hAnsi="宋体"/>
          <w:color w:val="000000"/>
          <w:szCs w:val="21"/>
        </w:rPr>
        <w:t>）。</w:t>
      </w:r>
    </w:p>
    <w:p>
      <w:pPr>
        <w:spacing w:line="360" w:lineRule="auto"/>
        <w:ind w:firstLine="420" w:firstLineChars="200"/>
        <w:rPr>
          <w:color w:val="000000"/>
          <w:szCs w:val="21"/>
        </w:rPr>
      </w:pPr>
      <w:r>
        <w:rPr>
          <w:color w:val="000000"/>
          <w:szCs w:val="21"/>
        </w:rPr>
        <w:t>A.</w:t>
      </w:r>
      <w:r>
        <w:rPr>
          <w:rFonts w:hAnsi="宋体"/>
          <w:color w:val="000000"/>
          <w:szCs w:val="21"/>
        </w:rPr>
        <w:t>在市场中存在很多投资者</w:t>
      </w:r>
    </w:p>
    <w:p>
      <w:pPr>
        <w:spacing w:line="360" w:lineRule="auto"/>
        <w:ind w:firstLine="420" w:firstLineChars="200"/>
        <w:rPr>
          <w:color w:val="000000"/>
          <w:szCs w:val="21"/>
        </w:rPr>
      </w:pPr>
      <w:r>
        <w:rPr>
          <w:color w:val="000000"/>
          <w:szCs w:val="21"/>
        </w:rPr>
        <w:t>B.</w:t>
      </w:r>
      <w:r>
        <w:rPr>
          <w:rFonts w:hAnsi="宋体"/>
          <w:color w:val="000000"/>
          <w:szCs w:val="21"/>
        </w:rPr>
        <w:t>不同投资者对于金融工具未来的收益现金流的预期值、方差等有不同的估计</w:t>
      </w:r>
    </w:p>
    <w:p>
      <w:pPr>
        <w:spacing w:line="360" w:lineRule="auto"/>
        <w:ind w:firstLine="420" w:firstLineChars="200"/>
        <w:rPr>
          <w:color w:val="000000"/>
          <w:szCs w:val="21"/>
        </w:rPr>
      </w:pPr>
      <w:r>
        <w:rPr>
          <w:color w:val="000000"/>
          <w:szCs w:val="21"/>
        </w:rPr>
        <w:t>C.</w:t>
      </w:r>
      <w:r>
        <w:rPr>
          <w:rFonts w:hAnsi="宋体"/>
          <w:color w:val="000000"/>
          <w:szCs w:val="21"/>
        </w:rPr>
        <w:t>没有税金和交易成本</w:t>
      </w:r>
    </w:p>
    <w:p>
      <w:pPr>
        <w:spacing w:line="360" w:lineRule="auto"/>
        <w:ind w:firstLine="420" w:firstLineChars="200"/>
        <w:rPr>
          <w:color w:val="000000"/>
          <w:szCs w:val="21"/>
        </w:rPr>
      </w:pPr>
      <w:r>
        <w:rPr>
          <w:color w:val="000000"/>
          <w:szCs w:val="21"/>
        </w:rPr>
        <w:t>D.</w:t>
      </w:r>
      <w:r>
        <w:rPr>
          <w:rFonts w:hAnsi="宋体"/>
          <w:color w:val="000000"/>
          <w:szCs w:val="21"/>
        </w:rPr>
        <w:t>所有的投资者都是理性的</w:t>
      </w:r>
    </w:p>
    <w:p>
      <w:pPr>
        <w:spacing w:line="360" w:lineRule="auto"/>
        <w:rPr>
          <w:color w:val="000000"/>
          <w:szCs w:val="21"/>
        </w:rPr>
      </w:pPr>
      <w:r>
        <w:rPr>
          <w:rFonts w:hint="eastAsia"/>
          <w:color w:val="000000"/>
          <w:szCs w:val="21"/>
        </w:rPr>
        <w:t>7</w:t>
      </w:r>
      <w:r>
        <w:rPr>
          <w:color w:val="000000"/>
          <w:szCs w:val="21"/>
        </w:rPr>
        <w:t>.</w:t>
      </w:r>
      <w:r>
        <w:rPr>
          <w:rFonts w:hAnsi="宋体"/>
          <w:color w:val="000000"/>
          <w:szCs w:val="21"/>
        </w:rPr>
        <w:t>证券投资的系统风险包括（</w:t>
      </w:r>
      <w:r>
        <w:rPr>
          <w:color w:val="000000"/>
          <w:szCs w:val="21"/>
        </w:rPr>
        <w:t>   </w:t>
      </w:r>
      <w:r>
        <w:rPr>
          <w:rFonts w:hAnsi="宋体"/>
          <w:color w:val="000000"/>
          <w:szCs w:val="21"/>
        </w:rPr>
        <w:t>）。</w:t>
      </w:r>
    </w:p>
    <w:p>
      <w:pPr>
        <w:spacing w:line="360" w:lineRule="auto"/>
        <w:ind w:firstLine="420" w:firstLineChars="200"/>
        <w:rPr>
          <w:color w:val="000000"/>
          <w:szCs w:val="21"/>
        </w:rPr>
      </w:pPr>
      <w:r>
        <w:rPr>
          <w:color w:val="000000"/>
          <w:szCs w:val="21"/>
        </w:rPr>
        <w:t>A.</w:t>
      </w:r>
      <w:r>
        <w:rPr>
          <w:rFonts w:hAnsi="宋体"/>
          <w:color w:val="000000"/>
          <w:szCs w:val="21"/>
        </w:rPr>
        <w:t>流动性风险</w:t>
      </w:r>
      <w:r>
        <w:rPr>
          <w:color w:val="000000"/>
          <w:szCs w:val="21"/>
        </w:rPr>
        <w:t>B.</w:t>
      </w:r>
      <w:r>
        <w:rPr>
          <w:rFonts w:hAnsi="宋体"/>
          <w:color w:val="000000"/>
          <w:szCs w:val="21"/>
        </w:rPr>
        <w:t>利息率风险</w:t>
      </w:r>
      <w:r>
        <w:rPr>
          <w:color w:val="000000"/>
          <w:szCs w:val="21"/>
        </w:rPr>
        <w:t>C.</w:t>
      </w:r>
      <w:r>
        <w:rPr>
          <w:rFonts w:hAnsi="宋体"/>
          <w:color w:val="000000"/>
          <w:szCs w:val="21"/>
        </w:rPr>
        <w:t>再投资风险</w:t>
      </w:r>
      <w:r>
        <w:rPr>
          <w:color w:val="000000"/>
          <w:szCs w:val="21"/>
        </w:rPr>
        <w:t>D.</w:t>
      </w:r>
      <w:r>
        <w:rPr>
          <w:rFonts w:hAnsi="宋体"/>
          <w:color w:val="000000"/>
          <w:szCs w:val="21"/>
        </w:rPr>
        <w:t>购买力风险</w:t>
      </w:r>
    </w:p>
    <w:p>
      <w:pPr>
        <w:spacing w:line="360" w:lineRule="auto"/>
        <w:jc w:val="left"/>
        <w:rPr>
          <w:color w:val="000000"/>
          <w:szCs w:val="21"/>
        </w:rPr>
      </w:pPr>
      <w:r>
        <w:rPr>
          <w:color w:val="000000"/>
          <w:szCs w:val="21"/>
        </w:rPr>
        <w:t>8.</w:t>
      </w:r>
      <w:r>
        <w:rPr>
          <w:rFonts w:hAnsi="宋体"/>
          <w:color w:val="000000"/>
          <w:szCs w:val="21"/>
        </w:rPr>
        <w:t>应收账款的功能包括（</w:t>
      </w:r>
      <w:r>
        <w:rPr>
          <w:color w:val="000000"/>
          <w:szCs w:val="21"/>
        </w:rPr>
        <w:t>   </w:t>
      </w:r>
      <w:r>
        <w:rPr>
          <w:rFonts w:hAnsi="宋体"/>
          <w:color w:val="000000"/>
          <w:szCs w:val="21"/>
        </w:rPr>
        <w:t>）。</w:t>
      </w:r>
    </w:p>
    <w:p>
      <w:pPr>
        <w:spacing w:line="360" w:lineRule="auto"/>
        <w:ind w:firstLine="420" w:firstLineChars="200"/>
        <w:jc w:val="left"/>
        <w:rPr>
          <w:rFonts w:hAnsi="宋体"/>
          <w:color w:val="000000"/>
          <w:szCs w:val="21"/>
        </w:rPr>
      </w:pPr>
      <w:r>
        <w:rPr>
          <w:color w:val="000000"/>
          <w:szCs w:val="21"/>
        </w:rPr>
        <w:t>A.</w:t>
      </w:r>
      <w:r>
        <w:rPr>
          <w:rFonts w:hAnsi="宋体"/>
          <w:color w:val="000000"/>
          <w:szCs w:val="21"/>
        </w:rPr>
        <w:t>促进销售</w:t>
      </w:r>
      <w:r>
        <w:rPr>
          <w:color w:val="000000"/>
          <w:szCs w:val="21"/>
        </w:rPr>
        <w:t>B.</w:t>
      </w:r>
      <w:r>
        <w:rPr>
          <w:rFonts w:hAnsi="宋体"/>
          <w:color w:val="000000"/>
          <w:szCs w:val="21"/>
        </w:rPr>
        <w:t>减少存货</w:t>
      </w:r>
      <w:r>
        <w:rPr>
          <w:color w:val="000000"/>
          <w:szCs w:val="21"/>
        </w:rPr>
        <w:t>C.</w:t>
      </w:r>
      <w:r>
        <w:rPr>
          <w:rFonts w:hAnsi="宋体"/>
          <w:color w:val="000000"/>
          <w:szCs w:val="21"/>
        </w:rPr>
        <w:t>增加现金</w:t>
      </w:r>
      <w:r>
        <w:rPr>
          <w:color w:val="000000"/>
          <w:szCs w:val="21"/>
        </w:rPr>
        <w:t>D.</w:t>
      </w:r>
      <w:r>
        <w:rPr>
          <w:rFonts w:hAnsi="宋体"/>
          <w:color w:val="000000"/>
          <w:szCs w:val="21"/>
        </w:rPr>
        <w:t>减少借款</w:t>
      </w:r>
    </w:p>
    <w:p>
      <w:pPr>
        <w:spacing w:line="360" w:lineRule="auto"/>
        <w:rPr>
          <w:color w:val="000000"/>
          <w:szCs w:val="21"/>
        </w:rPr>
      </w:pPr>
      <w:r>
        <w:rPr>
          <w:rFonts w:hint="eastAsia"/>
          <w:color w:val="000000"/>
          <w:szCs w:val="21"/>
        </w:rPr>
        <w:t>9</w:t>
      </w:r>
      <w:r>
        <w:rPr>
          <w:color w:val="000000"/>
          <w:szCs w:val="21"/>
        </w:rPr>
        <w:t>.</w:t>
      </w:r>
      <w:r>
        <w:rPr>
          <w:rFonts w:hAnsi="宋体"/>
          <w:color w:val="000000"/>
          <w:szCs w:val="21"/>
        </w:rPr>
        <w:t>投资者与企业之间通常发生（</w:t>
      </w:r>
      <w:r>
        <w:rPr>
          <w:color w:val="000000"/>
          <w:szCs w:val="21"/>
        </w:rPr>
        <w:t>   </w:t>
      </w:r>
      <w:r>
        <w:rPr>
          <w:rFonts w:hAnsi="宋体"/>
          <w:color w:val="000000"/>
          <w:szCs w:val="21"/>
        </w:rPr>
        <w:t>）财务关系。</w:t>
      </w:r>
    </w:p>
    <w:p>
      <w:pPr>
        <w:spacing w:line="360" w:lineRule="auto"/>
        <w:ind w:firstLine="420" w:firstLineChars="200"/>
        <w:rPr>
          <w:color w:val="000000"/>
          <w:szCs w:val="21"/>
        </w:rPr>
      </w:pPr>
      <w:r>
        <w:rPr>
          <w:color w:val="000000"/>
          <w:szCs w:val="21"/>
        </w:rPr>
        <w:t>A.</w:t>
      </w:r>
      <w:r>
        <w:rPr>
          <w:rFonts w:hAnsi="宋体"/>
          <w:color w:val="000000"/>
          <w:szCs w:val="21"/>
        </w:rPr>
        <w:t>投资者可以对企业进行一定程度的控制或施加影响</w:t>
      </w:r>
    </w:p>
    <w:p>
      <w:pPr>
        <w:spacing w:line="360" w:lineRule="auto"/>
        <w:ind w:firstLine="420" w:firstLineChars="200"/>
        <w:rPr>
          <w:color w:val="000000"/>
          <w:szCs w:val="21"/>
        </w:rPr>
      </w:pPr>
      <w:r>
        <w:rPr>
          <w:color w:val="000000"/>
          <w:szCs w:val="21"/>
        </w:rPr>
        <w:t>B.</w:t>
      </w:r>
      <w:r>
        <w:rPr>
          <w:rFonts w:hAnsi="宋体"/>
          <w:color w:val="000000"/>
          <w:szCs w:val="21"/>
        </w:rPr>
        <w:t>投资者可以参与企业净利润的分配</w:t>
      </w:r>
    </w:p>
    <w:p>
      <w:pPr>
        <w:spacing w:line="360" w:lineRule="auto"/>
        <w:ind w:firstLine="420" w:firstLineChars="200"/>
        <w:rPr>
          <w:color w:val="000000"/>
          <w:szCs w:val="21"/>
        </w:rPr>
      </w:pPr>
      <w:r>
        <w:rPr>
          <w:color w:val="000000"/>
          <w:szCs w:val="21"/>
        </w:rPr>
        <w:t>C.</w:t>
      </w:r>
      <w:r>
        <w:rPr>
          <w:rFonts w:hAnsi="宋体"/>
          <w:color w:val="000000"/>
          <w:szCs w:val="21"/>
        </w:rPr>
        <w:t>投资者对企业的剩余资产享有索取权</w:t>
      </w:r>
    </w:p>
    <w:p>
      <w:pPr>
        <w:spacing w:line="360" w:lineRule="auto"/>
        <w:ind w:firstLine="420" w:firstLineChars="200"/>
        <w:rPr>
          <w:color w:val="000000"/>
          <w:szCs w:val="21"/>
        </w:rPr>
      </w:pPr>
      <w:r>
        <w:rPr>
          <w:color w:val="000000"/>
          <w:szCs w:val="21"/>
        </w:rPr>
        <w:t>D.</w:t>
      </w:r>
      <w:r>
        <w:rPr>
          <w:rFonts w:hAnsi="宋体"/>
          <w:color w:val="000000"/>
          <w:szCs w:val="21"/>
        </w:rPr>
        <w:t>投资者对企业承担一定的经济法律责任</w:t>
      </w:r>
    </w:p>
    <w:p>
      <w:pPr>
        <w:spacing w:line="360" w:lineRule="auto"/>
        <w:rPr>
          <w:color w:val="000000"/>
          <w:szCs w:val="21"/>
        </w:rPr>
      </w:pPr>
      <w:r>
        <w:rPr>
          <w:rFonts w:hint="eastAsia"/>
          <w:color w:val="000000"/>
          <w:szCs w:val="21"/>
        </w:rPr>
        <w:t>10</w:t>
      </w:r>
      <w:r>
        <w:rPr>
          <w:color w:val="000000"/>
          <w:szCs w:val="21"/>
        </w:rPr>
        <w:t>.</w:t>
      </w:r>
      <w:r>
        <w:rPr>
          <w:rFonts w:hAnsi="宋体"/>
          <w:color w:val="000000"/>
          <w:szCs w:val="21"/>
        </w:rPr>
        <w:t>下列各项中属于资金营运活动的是（</w:t>
      </w:r>
      <w:r>
        <w:rPr>
          <w:color w:val="000000"/>
          <w:szCs w:val="21"/>
        </w:rPr>
        <w:t>   </w:t>
      </w:r>
      <w:r>
        <w:rPr>
          <w:rFonts w:hAnsi="宋体"/>
          <w:color w:val="000000"/>
          <w:szCs w:val="21"/>
        </w:rPr>
        <w:t>）。</w:t>
      </w:r>
    </w:p>
    <w:p>
      <w:pPr>
        <w:spacing w:line="360" w:lineRule="auto"/>
        <w:ind w:firstLine="420" w:firstLineChars="200"/>
        <w:rPr>
          <w:color w:val="000000"/>
          <w:szCs w:val="21"/>
        </w:rPr>
      </w:pPr>
      <w:r>
        <w:rPr>
          <w:color w:val="000000"/>
          <w:szCs w:val="21"/>
        </w:rPr>
        <w:t>A.</w:t>
      </w:r>
      <w:r>
        <w:rPr>
          <w:rFonts w:hAnsi="宋体"/>
          <w:color w:val="000000"/>
          <w:szCs w:val="21"/>
        </w:rPr>
        <w:t>采购原材料</w:t>
      </w:r>
      <w:r>
        <w:rPr>
          <w:color w:val="000000"/>
          <w:szCs w:val="21"/>
        </w:rPr>
        <w:t>B.</w:t>
      </w:r>
      <w:r>
        <w:rPr>
          <w:rFonts w:hAnsi="宋体"/>
          <w:color w:val="000000"/>
          <w:szCs w:val="21"/>
        </w:rPr>
        <w:t>购买国库券</w:t>
      </w:r>
      <w:r>
        <w:rPr>
          <w:color w:val="000000"/>
          <w:szCs w:val="21"/>
        </w:rPr>
        <w:t>C.</w:t>
      </w:r>
      <w:r>
        <w:rPr>
          <w:rFonts w:hAnsi="宋体"/>
          <w:color w:val="000000"/>
          <w:szCs w:val="21"/>
        </w:rPr>
        <w:t>销售商品</w:t>
      </w:r>
      <w:r>
        <w:rPr>
          <w:color w:val="000000"/>
          <w:szCs w:val="21"/>
        </w:rPr>
        <w:t>D.</w:t>
      </w:r>
      <w:r>
        <w:rPr>
          <w:rFonts w:hAnsi="宋体"/>
          <w:color w:val="000000"/>
          <w:szCs w:val="21"/>
        </w:rPr>
        <w:t>支付现金股利</w:t>
      </w:r>
    </w:p>
    <w:p>
      <w:pPr>
        <w:spacing w:line="360" w:lineRule="auto"/>
        <w:rPr>
          <w:color w:val="000000"/>
          <w:szCs w:val="21"/>
        </w:rPr>
      </w:pPr>
      <w:r>
        <w:rPr>
          <w:rFonts w:hint="eastAsia"/>
          <w:color w:val="000000"/>
          <w:szCs w:val="21"/>
        </w:rPr>
        <w:t>11</w:t>
      </w:r>
      <w:r>
        <w:rPr>
          <w:color w:val="000000"/>
          <w:szCs w:val="21"/>
        </w:rPr>
        <w:t>.</w:t>
      </w:r>
      <w:r>
        <w:rPr>
          <w:rFonts w:hAnsi="宋体"/>
          <w:color w:val="000000"/>
          <w:szCs w:val="21"/>
        </w:rPr>
        <w:t>下列说法正确的是（</w:t>
      </w:r>
      <w:r>
        <w:rPr>
          <w:color w:val="000000"/>
          <w:szCs w:val="21"/>
        </w:rPr>
        <w:t>   </w:t>
      </w:r>
      <w:r>
        <w:rPr>
          <w:rFonts w:hAnsi="宋体"/>
          <w:color w:val="000000"/>
          <w:szCs w:val="21"/>
        </w:rPr>
        <w:t>）。</w:t>
      </w:r>
    </w:p>
    <w:p>
      <w:pPr>
        <w:spacing w:line="360" w:lineRule="auto"/>
        <w:ind w:firstLine="420" w:firstLineChars="200"/>
        <w:rPr>
          <w:color w:val="000000"/>
          <w:szCs w:val="21"/>
        </w:rPr>
      </w:pPr>
      <w:r>
        <w:rPr>
          <w:color w:val="000000"/>
          <w:szCs w:val="21"/>
        </w:rPr>
        <w:t>A.</w:t>
      </w:r>
      <w:r>
        <w:rPr>
          <w:rFonts w:hAnsi="宋体"/>
          <w:color w:val="000000"/>
          <w:szCs w:val="21"/>
        </w:rPr>
        <w:t>普通年金终值系数和偿债基金系数互为倒数</w:t>
      </w:r>
    </w:p>
    <w:p>
      <w:pPr>
        <w:spacing w:line="360" w:lineRule="auto"/>
        <w:ind w:firstLine="420" w:firstLineChars="200"/>
        <w:rPr>
          <w:color w:val="000000"/>
          <w:szCs w:val="21"/>
        </w:rPr>
      </w:pPr>
      <w:r>
        <w:rPr>
          <w:color w:val="000000"/>
          <w:szCs w:val="21"/>
        </w:rPr>
        <w:t>B.</w:t>
      </w:r>
      <w:r>
        <w:rPr>
          <w:rFonts w:hAnsi="宋体"/>
          <w:color w:val="000000"/>
          <w:szCs w:val="21"/>
        </w:rPr>
        <w:t>普通年金终值系数和普通年金现值系数互为倒数</w:t>
      </w:r>
    </w:p>
    <w:p>
      <w:pPr>
        <w:spacing w:line="360" w:lineRule="auto"/>
        <w:ind w:firstLine="420" w:firstLineChars="200"/>
        <w:rPr>
          <w:color w:val="000000"/>
          <w:szCs w:val="21"/>
        </w:rPr>
      </w:pPr>
      <w:r>
        <w:rPr>
          <w:color w:val="000000"/>
          <w:szCs w:val="21"/>
        </w:rPr>
        <w:t>C.</w:t>
      </w:r>
      <w:r>
        <w:rPr>
          <w:rFonts w:hAnsi="宋体"/>
          <w:color w:val="000000"/>
          <w:szCs w:val="21"/>
        </w:rPr>
        <w:t>复利终值系数和复利现值系数互为倒数</w:t>
      </w:r>
    </w:p>
    <w:p>
      <w:pPr>
        <w:spacing w:line="360" w:lineRule="auto"/>
        <w:ind w:firstLine="420" w:firstLineChars="200"/>
        <w:rPr>
          <w:color w:val="000000"/>
          <w:szCs w:val="21"/>
        </w:rPr>
      </w:pPr>
      <w:r>
        <w:rPr>
          <w:color w:val="000000"/>
          <w:szCs w:val="21"/>
        </w:rPr>
        <w:t>D.</w:t>
      </w:r>
      <w:r>
        <w:rPr>
          <w:rFonts w:hAnsi="宋体"/>
          <w:color w:val="000000"/>
          <w:szCs w:val="21"/>
        </w:rPr>
        <w:t>普通年金现值系数和资本回收系数互为倒数</w:t>
      </w:r>
    </w:p>
    <w:p>
      <w:pPr>
        <w:spacing w:line="360" w:lineRule="auto"/>
        <w:rPr>
          <w:color w:val="000000"/>
          <w:szCs w:val="21"/>
        </w:rPr>
      </w:pPr>
      <w:r>
        <w:rPr>
          <w:rFonts w:hint="eastAsia"/>
          <w:color w:val="000000"/>
          <w:szCs w:val="21"/>
        </w:rPr>
        <w:t>12</w:t>
      </w:r>
      <w:r>
        <w:rPr>
          <w:color w:val="000000"/>
          <w:szCs w:val="21"/>
        </w:rPr>
        <w:t>.</w:t>
      </w:r>
      <w:r>
        <w:rPr>
          <w:rFonts w:hAnsi="宋体"/>
          <w:color w:val="000000"/>
          <w:szCs w:val="21"/>
        </w:rPr>
        <w:t>下列（</w:t>
      </w:r>
      <w:r>
        <w:rPr>
          <w:color w:val="000000"/>
          <w:szCs w:val="21"/>
        </w:rPr>
        <w:t>   </w:t>
      </w:r>
      <w:r>
        <w:rPr>
          <w:rFonts w:hAnsi="宋体"/>
          <w:color w:val="000000"/>
          <w:szCs w:val="21"/>
        </w:rPr>
        <w:t>）属于企业自留资金。</w:t>
      </w:r>
    </w:p>
    <w:p>
      <w:pPr>
        <w:spacing w:line="360" w:lineRule="auto"/>
        <w:ind w:firstLine="420" w:firstLineChars="200"/>
        <w:rPr>
          <w:color w:val="000000"/>
          <w:szCs w:val="21"/>
        </w:rPr>
      </w:pPr>
      <w:r>
        <w:rPr>
          <w:color w:val="000000"/>
          <w:szCs w:val="21"/>
        </w:rPr>
        <w:t>A.</w:t>
      </w:r>
      <w:r>
        <w:rPr>
          <w:rFonts w:hAnsi="宋体"/>
          <w:color w:val="000000"/>
          <w:szCs w:val="21"/>
        </w:rPr>
        <w:t>法定公积金</w:t>
      </w:r>
      <w:r>
        <w:rPr>
          <w:color w:val="000000"/>
          <w:szCs w:val="21"/>
        </w:rPr>
        <w:t>B.</w:t>
      </w:r>
      <w:r>
        <w:rPr>
          <w:rFonts w:hAnsi="宋体"/>
          <w:color w:val="000000"/>
          <w:szCs w:val="21"/>
        </w:rPr>
        <w:t>任意公积金</w:t>
      </w:r>
      <w:r>
        <w:rPr>
          <w:color w:val="000000"/>
          <w:szCs w:val="21"/>
        </w:rPr>
        <w:t>C.</w:t>
      </w:r>
      <w:r>
        <w:rPr>
          <w:rFonts w:hAnsi="宋体"/>
          <w:color w:val="000000"/>
          <w:szCs w:val="21"/>
        </w:rPr>
        <w:t>资本公积金</w:t>
      </w:r>
      <w:r>
        <w:rPr>
          <w:color w:val="000000"/>
          <w:szCs w:val="21"/>
        </w:rPr>
        <w:t>D.</w:t>
      </w:r>
      <w:r>
        <w:rPr>
          <w:rFonts w:hAnsi="宋体"/>
          <w:color w:val="000000"/>
          <w:szCs w:val="21"/>
        </w:rPr>
        <w:t>未分配利润</w:t>
      </w:r>
    </w:p>
    <w:p>
      <w:pPr>
        <w:spacing w:line="360" w:lineRule="auto"/>
        <w:rPr>
          <w:color w:val="000000"/>
          <w:szCs w:val="21"/>
        </w:rPr>
      </w:pPr>
      <w:r>
        <w:rPr>
          <w:rFonts w:hint="eastAsia"/>
          <w:color w:val="000000"/>
          <w:szCs w:val="21"/>
        </w:rPr>
        <w:t>13</w:t>
      </w:r>
      <w:r>
        <w:rPr>
          <w:color w:val="000000"/>
          <w:szCs w:val="21"/>
        </w:rPr>
        <w:t>.</w:t>
      </w:r>
      <w:r>
        <w:rPr>
          <w:rFonts w:hAnsi="宋体"/>
          <w:color w:val="000000"/>
          <w:szCs w:val="21"/>
        </w:rPr>
        <w:t>银行借款筹资的优点包括（</w:t>
      </w:r>
      <w:r>
        <w:rPr>
          <w:color w:val="000000"/>
          <w:szCs w:val="21"/>
        </w:rPr>
        <w:t>   </w:t>
      </w:r>
      <w:r>
        <w:rPr>
          <w:rFonts w:hAnsi="宋体"/>
          <w:color w:val="000000"/>
          <w:szCs w:val="21"/>
        </w:rPr>
        <w:t>）。</w:t>
      </w:r>
    </w:p>
    <w:p>
      <w:pPr>
        <w:spacing w:line="360" w:lineRule="auto"/>
        <w:ind w:firstLine="420" w:firstLineChars="200"/>
        <w:rPr>
          <w:color w:val="000000"/>
          <w:szCs w:val="21"/>
        </w:rPr>
      </w:pPr>
      <w:r>
        <w:rPr>
          <w:color w:val="000000"/>
          <w:szCs w:val="21"/>
        </w:rPr>
        <w:t>A.</w:t>
      </w:r>
      <w:r>
        <w:rPr>
          <w:rFonts w:hAnsi="宋体"/>
          <w:color w:val="000000"/>
          <w:szCs w:val="21"/>
        </w:rPr>
        <w:t>筹资速度快</w:t>
      </w:r>
      <w:r>
        <w:rPr>
          <w:color w:val="000000"/>
          <w:szCs w:val="21"/>
        </w:rPr>
        <w:t>B.</w:t>
      </w:r>
      <w:r>
        <w:rPr>
          <w:rFonts w:hAnsi="宋体"/>
          <w:color w:val="000000"/>
          <w:szCs w:val="21"/>
        </w:rPr>
        <w:t>筹资成本低</w:t>
      </w:r>
      <w:r>
        <w:rPr>
          <w:color w:val="000000"/>
          <w:szCs w:val="21"/>
        </w:rPr>
        <w:t>C.</w:t>
      </w:r>
      <w:r>
        <w:rPr>
          <w:rFonts w:hAnsi="宋体"/>
          <w:color w:val="000000"/>
          <w:szCs w:val="21"/>
        </w:rPr>
        <w:t>限制条款少</w:t>
      </w:r>
      <w:r>
        <w:rPr>
          <w:color w:val="000000"/>
          <w:szCs w:val="21"/>
        </w:rPr>
        <w:t>D.</w:t>
      </w:r>
      <w:r>
        <w:rPr>
          <w:rFonts w:hAnsi="宋体"/>
          <w:color w:val="000000"/>
          <w:szCs w:val="21"/>
        </w:rPr>
        <w:t>借款弹性好</w:t>
      </w:r>
    </w:p>
    <w:p>
      <w:pPr>
        <w:spacing w:line="360" w:lineRule="auto"/>
        <w:rPr>
          <w:color w:val="000000"/>
          <w:szCs w:val="21"/>
        </w:rPr>
      </w:pPr>
      <w:r>
        <w:rPr>
          <w:rFonts w:hint="eastAsia"/>
          <w:color w:val="000000"/>
          <w:szCs w:val="21"/>
        </w:rPr>
        <w:t>14</w:t>
      </w:r>
      <w:r>
        <w:rPr>
          <w:color w:val="000000"/>
          <w:szCs w:val="21"/>
        </w:rPr>
        <w:t>.</w:t>
      </w:r>
      <w:r>
        <w:rPr>
          <w:rFonts w:hAnsi="宋体"/>
          <w:color w:val="000000"/>
          <w:szCs w:val="21"/>
        </w:rPr>
        <w:t>项目投资与其他形式的投资相比，具有以下特点（</w:t>
      </w:r>
      <w:r>
        <w:rPr>
          <w:color w:val="000000"/>
          <w:szCs w:val="21"/>
        </w:rPr>
        <w:t>   </w:t>
      </w:r>
      <w:r>
        <w:rPr>
          <w:rFonts w:hAnsi="宋体"/>
          <w:color w:val="000000"/>
          <w:szCs w:val="21"/>
        </w:rPr>
        <w:t>）。</w:t>
      </w:r>
    </w:p>
    <w:p>
      <w:pPr>
        <w:spacing w:line="360" w:lineRule="auto"/>
        <w:ind w:firstLine="420" w:firstLineChars="200"/>
        <w:rPr>
          <w:color w:val="000000"/>
          <w:szCs w:val="21"/>
        </w:rPr>
      </w:pPr>
      <w:r>
        <w:rPr>
          <w:color w:val="000000"/>
          <w:szCs w:val="21"/>
        </w:rPr>
        <w:t>A.</w:t>
      </w:r>
      <w:r>
        <w:rPr>
          <w:rFonts w:hAnsi="宋体"/>
          <w:color w:val="000000"/>
          <w:szCs w:val="21"/>
        </w:rPr>
        <w:t>投资金额大</w:t>
      </w:r>
      <w:r>
        <w:rPr>
          <w:color w:val="000000"/>
          <w:szCs w:val="21"/>
        </w:rPr>
        <w:t>B.</w:t>
      </w:r>
      <w:r>
        <w:rPr>
          <w:rFonts w:hAnsi="宋体"/>
          <w:color w:val="000000"/>
          <w:szCs w:val="21"/>
        </w:rPr>
        <w:t>影响时间长</w:t>
      </w:r>
      <w:r>
        <w:rPr>
          <w:color w:val="000000"/>
          <w:szCs w:val="21"/>
        </w:rPr>
        <w:t>C.</w:t>
      </w:r>
      <w:r>
        <w:rPr>
          <w:rFonts w:hAnsi="宋体"/>
          <w:color w:val="000000"/>
          <w:szCs w:val="21"/>
        </w:rPr>
        <w:t>变现能力差</w:t>
      </w:r>
      <w:r>
        <w:rPr>
          <w:color w:val="000000"/>
          <w:szCs w:val="21"/>
        </w:rPr>
        <w:t>D.</w:t>
      </w:r>
      <w:r>
        <w:rPr>
          <w:rFonts w:hAnsi="宋体"/>
          <w:color w:val="000000"/>
          <w:szCs w:val="21"/>
        </w:rPr>
        <w:t>投资风险小</w:t>
      </w:r>
      <w:r>
        <w:rPr>
          <w:color w:val="000000"/>
          <w:szCs w:val="21"/>
        </w:rPr>
        <w:t>  </w:t>
      </w:r>
    </w:p>
    <w:p>
      <w:pPr>
        <w:spacing w:line="360" w:lineRule="auto"/>
        <w:rPr>
          <w:color w:val="000000"/>
          <w:szCs w:val="21"/>
        </w:rPr>
      </w:pPr>
      <w:r>
        <w:rPr>
          <w:rFonts w:hint="eastAsia"/>
          <w:color w:val="000000"/>
          <w:szCs w:val="21"/>
        </w:rPr>
        <w:t>15</w:t>
      </w:r>
      <w:r>
        <w:rPr>
          <w:color w:val="000000"/>
          <w:szCs w:val="21"/>
        </w:rPr>
        <w:t>.</w:t>
      </w:r>
      <w:r>
        <w:rPr>
          <w:rFonts w:hAnsi="宋体"/>
          <w:color w:val="000000"/>
          <w:szCs w:val="21"/>
        </w:rPr>
        <w:t>企业在选择投资对象时应当遵循的原则包括（</w:t>
      </w:r>
      <w:r>
        <w:rPr>
          <w:color w:val="000000"/>
          <w:szCs w:val="21"/>
        </w:rPr>
        <w:t>   </w:t>
      </w:r>
      <w:r>
        <w:rPr>
          <w:rFonts w:hAnsi="宋体"/>
          <w:color w:val="000000"/>
          <w:szCs w:val="21"/>
        </w:rPr>
        <w:t>）。</w:t>
      </w:r>
    </w:p>
    <w:p>
      <w:pPr>
        <w:spacing w:line="360" w:lineRule="auto"/>
        <w:ind w:firstLine="420" w:firstLineChars="200"/>
        <w:rPr>
          <w:color w:val="000000"/>
          <w:szCs w:val="21"/>
        </w:rPr>
      </w:pPr>
      <w:r>
        <w:rPr>
          <w:color w:val="000000"/>
          <w:szCs w:val="21"/>
        </w:rPr>
        <w:t>A.</w:t>
      </w:r>
      <w:r>
        <w:rPr>
          <w:rFonts w:hAnsi="宋体"/>
          <w:color w:val="000000"/>
          <w:szCs w:val="21"/>
        </w:rPr>
        <w:t>安全性原则</w:t>
      </w:r>
      <w:r>
        <w:rPr>
          <w:color w:val="000000"/>
          <w:szCs w:val="21"/>
        </w:rPr>
        <w:t>B.</w:t>
      </w:r>
      <w:r>
        <w:rPr>
          <w:rFonts w:hAnsi="宋体"/>
          <w:color w:val="000000"/>
          <w:szCs w:val="21"/>
        </w:rPr>
        <w:t>流动性原则</w:t>
      </w:r>
      <w:r>
        <w:rPr>
          <w:color w:val="000000"/>
          <w:szCs w:val="21"/>
        </w:rPr>
        <w:t>C.</w:t>
      </w:r>
      <w:r>
        <w:rPr>
          <w:rFonts w:hAnsi="宋体"/>
          <w:color w:val="000000"/>
          <w:szCs w:val="21"/>
        </w:rPr>
        <w:t>重要性原则</w:t>
      </w:r>
      <w:r>
        <w:rPr>
          <w:color w:val="000000"/>
          <w:szCs w:val="21"/>
        </w:rPr>
        <w:t>D.</w:t>
      </w:r>
      <w:r>
        <w:rPr>
          <w:rFonts w:hAnsi="宋体"/>
          <w:color w:val="000000"/>
          <w:szCs w:val="21"/>
        </w:rPr>
        <w:t>收益性原则</w:t>
      </w:r>
    </w:p>
    <w:p>
      <w:pPr>
        <w:spacing w:line="360" w:lineRule="auto"/>
        <w:rPr>
          <w:color w:val="000000"/>
          <w:szCs w:val="21"/>
        </w:rPr>
      </w:pPr>
      <w:r>
        <w:rPr>
          <w:rFonts w:hint="eastAsia"/>
          <w:color w:val="000000"/>
          <w:szCs w:val="21"/>
        </w:rPr>
        <w:t>16</w:t>
      </w:r>
      <w:r>
        <w:rPr>
          <w:color w:val="000000"/>
          <w:szCs w:val="21"/>
        </w:rPr>
        <w:t>.</w:t>
      </w:r>
      <w:r>
        <w:rPr>
          <w:rFonts w:hAnsi="宋体"/>
          <w:color w:val="000000"/>
          <w:szCs w:val="21"/>
        </w:rPr>
        <w:t>与长期负债筹资相比，流动负债的特点包括（</w:t>
      </w:r>
      <w:r>
        <w:rPr>
          <w:color w:val="000000"/>
          <w:szCs w:val="21"/>
        </w:rPr>
        <w:t>   </w:t>
      </w:r>
      <w:r>
        <w:rPr>
          <w:rFonts w:hAnsi="宋体"/>
          <w:color w:val="000000"/>
          <w:szCs w:val="21"/>
        </w:rPr>
        <w:t>）。</w:t>
      </w:r>
    </w:p>
    <w:p>
      <w:pPr>
        <w:spacing w:line="360" w:lineRule="auto"/>
        <w:ind w:firstLine="420" w:firstLineChars="200"/>
        <w:jc w:val="left"/>
        <w:rPr>
          <w:color w:val="000000"/>
          <w:szCs w:val="21"/>
        </w:rPr>
      </w:pPr>
      <w:r>
        <w:rPr>
          <w:color w:val="000000"/>
          <w:szCs w:val="21"/>
        </w:rPr>
        <w:t>A.</w:t>
      </w:r>
      <w:r>
        <w:rPr>
          <w:rFonts w:hAnsi="宋体"/>
          <w:color w:val="000000"/>
          <w:szCs w:val="21"/>
        </w:rPr>
        <w:t>速度快</w:t>
      </w:r>
      <w:r>
        <w:rPr>
          <w:color w:val="000000"/>
          <w:szCs w:val="21"/>
        </w:rPr>
        <w:t>B.</w:t>
      </w:r>
      <w:r>
        <w:rPr>
          <w:rFonts w:hAnsi="宋体"/>
          <w:color w:val="000000"/>
          <w:szCs w:val="21"/>
        </w:rPr>
        <w:t>弹性大</w:t>
      </w:r>
      <w:r>
        <w:rPr>
          <w:color w:val="000000"/>
          <w:szCs w:val="21"/>
        </w:rPr>
        <w:t>C.</w:t>
      </w:r>
      <w:r>
        <w:rPr>
          <w:rFonts w:hAnsi="宋体"/>
          <w:color w:val="000000"/>
          <w:szCs w:val="21"/>
        </w:rPr>
        <w:t>成本低</w:t>
      </w:r>
      <w:r>
        <w:rPr>
          <w:color w:val="000000"/>
          <w:szCs w:val="21"/>
        </w:rPr>
        <w:t>D.</w:t>
      </w:r>
      <w:r>
        <w:rPr>
          <w:rFonts w:hAnsi="宋体"/>
          <w:color w:val="000000"/>
          <w:szCs w:val="21"/>
        </w:rPr>
        <w:t>风险小</w:t>
      </w:r>
    </w:p>
    <w:p>
      <w:pPr>
        <w:spacing w:line="360" w:lineRule="auto"/>
        <w:jc w:val="left"/>
        <w:rPr>
          <w:b/>
          <w:color w:val="000000"/>
          <w:szCs w:val="21"/>
        </w:rPr>
      </w:pPr>
      <w:r>
        <w:rPr>
          <w:rFonts w:hAnsi="宋体"/>
          <w:b/>
          <w:color w:val="000000"/>
          <w:szCs w:val="21"/>
        </w:rPr>
        <w:t>三</w:t>
      </w:r>
      <w:r>
        <w:rPr>
          <w:rFonts w:hint="eastAsia" w:hAnsi="宋体"/>
          <w:b/>
          <w:color w:val="000000"/>
          <w:szCs w:val="21"/>
        </w:rPr>
        <w:t>、</w:t>
      </w:r>
      <w:r>
        <w:rPr>
          <w:rFonts w:hAnsi="宋体"/>
          <w:b/>
          <w:color w:val="000000"/>
          <w:szCs w:val="21"/>
        </w:rPr>
        <w:t>判断题</w:t>
      </w:r>
    </w:p>
    <w:p>
      <w:pPr>
        <w:spacing w:line="360" w:lineRule="auto"/>
        <w:rPr>
          <w:color w:val="000000"/>
          <w:szCs w:val="21"/>
        </w:rPr>
      </w:pPr>
      <w:r>
        <w:rPr>
          <w:color w:val="000000"/>
          <w:szCs w:val="21"/>
        </w:rPr>
        <w:t>1.</w:t>
      </w:r>
      <w:r>
        <w:rPr>
          <w:rFonts w:hAnsi="宋体"/>
          <w:color w:val="000000"/>
          <w:szCs w:val="21"/>
        </w:rPr>
        <w:t>广义的分配是指对企业全部净利润的分配，而狭义的分配仅是指对于企业收入的分配。</w:t>
      </w:r>
      <w:r>
        <w:rPr>
          <w:rFonts w:hint="eastAsia" w:hAnsi="宋体"/>
          <w:color w:val="000000"/>
          <w:szCs w:val="21"/>
        </w:rPr>
        <w:t>（）</w:t>
      </w:r>
    </w:p>
    <w:p>
      <w:pPr>
        <w:spacing w:line="360" w:lineRule="auto"/>
        <w:rPr>
          <w:color w:val="000000"/>
          <w:szCs w:val="21"/>
        </w:rPr>
      </w:pPr>
      <w:r>
        <w:rPr>
          <w:rFonts w:hint="eastAsia"/>
          <w:color w:val="000000"/>
          <w:szCs w:val="21"/>
        </w:rPr>
        <w:t>2</w:t>
      </w:r>
      <w:r>
        <w:rPr>
          <w:color w:val="000000"/>
          <w:szCs w:val="21"/>
        </w:rPr>
        <w:t>.</w:t>
      </w:r>
      <w:r>
        <w:rPr>
          <w:rFonts w:hAnsi="宋体"/>
          <w:color w:val="000000"/>
          <w:szCs w:val="21"/>
        </w:rPr>
        <w:t>财务分析可以改善财务预测、决策、预算和控制，改善企业的管理水平，提高企业经济效益，所以财务分析是财务管理的核心。</w:t>
      </w:r>
      <w:r>
        <w:rPr>
          <w:rFonts w:hint="eastAsia" w:hAnsi="宋体"/>
          <w:color w:val="000000"/>
          <w:szCs w:val="21"/>
        </w:rPr>
        <w:t xml:space="preserve">                                         （   ）</w:t>
      </w:r>
    </w:p>
    <w:p>
      <w:pPr>
        <w:spacing w:line="360" w:lineRule="auto"/>
        <w:rPr>
          <w:color w:val="000000"/>
          <w:szCs w:val="21"/>
        </w:rPr>
      </w:pPr>
      <w:r>
        <w:rPr>
          <w:color w:val="000000"/>
          <w:szCs w:val="21"/>
        </w:rPr>
        <w:t>3.</w:t>
      </w:r>
      <w:r>
        <w:rPr>
          <w:rFonts w:hAnsi="宋体"/>
          <w:color w:val="000000"/>
          <w:szCs w:val="21"/>
        </w:rPr>
        <w:t>每半年付息一次的债券利息是一种年金的形式。</w:t>
      </w:r>
      <w:r>
        <w:rPr>
          <w:rFonts w:hint="eastAsia" w:hAnsi="宋体"/>
          <w:color w:val="000000"/>
          <w:szCs w:val="21"/>
        </w:rPr>
        <w:t xml:space="preserve">                               （   ）</w:t>
      </w:r>
    </w:p>
    <w:p>
      <w:pPr>
        <w:spacing w:line="360" w:lineRule="auto"/>
        <w:rPr>
          <w:color w:val="000000"/>
          <w:szCs w:val="21"/>
        </w:rPr>
      </w:pPr>
      <w:r>
        <w:rPr>
          <w:rFonts w:hint="eastAsia"/>
          <w:color w:val="000000"/>
          <w:szCs w:val="21"/>
        </w:rPr>
        <w:t>4</w:t>
      </w:r>
      <w:r>
        <w:rPr>
          <w:color w:val="000000"/>
          <w:szCs w:val="21"/>
        </w:rPr>
        <w:t>.</w:t>
      </w:r>
      <w:r>
        <w:rPr>
          <w:rFonts w:hAnsi="宋体"/>
          <w:color w:val="000000"/>
          <w:szCs w:val="21"/>
        </w:rPr>
        <w:t>优先认股权是优先股股东的优先权。</w:t>
      </w:r>
      <w:r>
        <w:rPr>
          <w:rFonts w:hint="eastAsia" w:hAnsi="宋体"/>
          <w:color w:val="000000"/>
          <w:szCs w:val="21"/>
        </w:rPr>
        <w:t xml:space="preserve">                                         （   ）</w:t>
      </w:r>
    </w:p>
    <w:p>
      <w:pPr>
        <w:spacing w:line="360" w:lineRule="auto"/>
        <w:rPr>
          <w:color w:val="000000"/>
          <w:szCs w:val="21"/>
        </w:rPr>
      </w:pPr>
      <w:r>
        <w:rPr>
          <w:rFonts w:hint="eastAsia"/>
          <w:color w:val="000000"/>
          <w:szCs w:val="21"/>
        </w:rPr>
        <w:t>5</w:t>
      </w:r>
      <w:r>
        <w:rPr>
          <w:color w:val="000000"/>
          <w:szCs w:val="21"/>
        </w:rPr>
        <w:t>.</w:t>
      </w:r>
      <w:r>
        <w:rPr>
          <w:rFonts w:hAnsi="宋体"/>
          <w:color w:val="000000"/>
          <w:szCs w:val="21"/>
        </w:rPr>
        <w:t>在所有资金来源中，一般来说，普通股的资金成本最高。</w:t>
      </w:r>
      <w:r>
        <w:rPr>
          <w:rFonts w:hint="eastAsia" w:hAnsi="宋体"/>
          <w:color w:val="000000"/>
          <w:szCs w:val="21"/>
        </w:rPr>
        <w:t xml:space="preserve">                        （   ）</w:t>
      </w:r>
    </w:p>
    <w:p>
      <w:pPr>
        <w:spacing w:line="360" w:lineRule="auto"/>
        <w:rPr>
          <w:color w:val="000000"/>
          <w:szCs w:val="21"/>
        </w:rPr>
      </w:pPr>
      <w:r>
        <w:rPr>
          <w:rFonts w:hint="eastAsia"/>
          <w:color w:val="000000"/>
          <w:szCs w:val="21"/>
        </w:rPr>
        <w:t>6</w:t>
      </w:r>
      <w:r>
        <w:rPr>
          <w:color w:val="000000"/>
          <w:szCs w:val="21"/>
        </w:rPr>
        <w:t>.</w:t>
      </w:r>
      <w:r>
        <w:rPr>
          <w:rFonts w:hAnsi="宋体"/>
          <w:color w:val="000000"/>
          <w:szCs w:val="21"/>
        </w:rPr>
        <w:t>企业投资的核心目的是开拓市场、控制资源、防范风险。</w:t>
      </w:r>
      <w:r>
        <w:rPr>
          <w:rFonts w:hint="eastAsia" w:hAnsi="宋体"/>
          <w:color w:val="000000"/>
          <w:szCs w:val="21"/>
        </w:rPr>
        <w:t xml:space="preserve">                        （   ）</w:t>
      </w:r>
    </w:p>
    <w:p>
      <w:pPr>
        <w:spacing w:line="360" w:lineRule="auto"/>
        <w:rPr>
          <w:color w:val="000000"/>
          <w:szCs w:val="21"/>
        </w:rPr>
      </w:pPr>
      <w:r>
        <w:rPr>
          <w:rFonts w:hint="eastAsia"/>
          <w:color w:val="000000"/>
          <w:szCs w:val="21"/>
        </w:rPr>
        <w:t>7</w:t>
      </w:r>
      <w:r>
        <w:rPr>
          <w:color w:val="000000"/>
          <w:szCs w:val="21"/>
        </w:rPr>
        <w:t>.</w:t>
      </w:r>
      <w:r>
        <w:rPr>
          <w:rFonts w:hAnsi="宋体"/>
          <w:color w:val="000000"/>
          <w:szCs w:val="21"/>
        </w:rPr>
        <w:t>对于单纯固定资产投资项目来说，如果项目的建设期为</w:t>
      </w:r>
      <w:r>
        <w:rPr>
          <w:color w:val="000000"/>
          <w:szCs w:val="21"/>
        </w:rPr>
        <w:t>0</w:t>
      </w:r>
      <w:r>
        <w:rPr>
          <w:rFonts w:hAnsi="宋体"/>
          <w:color w:val="000000"/>
          <w:szCs w:val="21"/>
        </w:rPr>
        <w:t>，则说明固定资产投资的投资方式是一次投入。</w:t>
      </w:r>
      <w:r>
        <w:rPr>
          <w:color w:val="000000"/>
          <w:szCs w:val="21"/>
        </w:rPr>
        <w:t>   </w:t>
      </w:r>
      <w:r>
        <w:rPr>
          <w:rFonts w:hint="eastAsia"/>
          <w:color w:val="000000"/>
          <w:szCs w:val="21"/>
        </w:rPr>
        <w:t xml:space="preserve">                                                          （   ）</w:t>
      </w:r>
    </w:p>
    <w:p>
      <w:pPr>
        <w:spacing w:line="360" w:lineRule="auto"/>
        <w:rPr>
          <w:rFonts w:hAnsi="宋体"/>
          <w:color w:val="000000"/>
          <w:szCs w:val="21"/>
        </w:rPr>
      </w:pPr>
      <w:r>
        <w:rPr>
          <w:rFonts w:hint="eastAsia"/>
          <w:color w:val="000000"/>
          <w:szCs w:val="21"/>
        </w:rPr>
        <w:t>8</w:t>
      </w:r>
      <w:r>
        <w:rPr>
          <w:color w:val="000000"/>
          <w:szCs w:val="21"/>
        </w:rPr>
        <w:t>.</w:t>
      </w:r>
      <w:r>
        <w:rPr>
          <w:rFonts w:hAnsi="宋体"/>
          <w:color w:val="000000"/>
          <w:szCs w:val="21"/>
        </w:rPr>
        <w:t>短期债券与长期债券相比，利息率风险大，再投资风险小。</w:t>
      </w:r>
      <w:r>
        <w:rPr>
          <w:rFonts w:hint="eastAsia" w:hAnsi="宋体"/>
          <w:color w:val="000000"/>
          <w:szCs w:val="21"/>
        </w:rPr>
        <w:t xml:space="preserve">                     （   ）</w:t>
      </w:r>
    </w:p>
    <w:p>
      <w:pPr>
        <w:spacing w:line="360" w:lineRule="auto"/>
        <w:rPr>
          <w:color w:val="000000"/>
          <w:szCs w:val="21"/>
        </w:rPr>
      </w:pPr>
      <w:r>
        <w:rPr>
          <w:rFonts w:hint="eastAsia"/>
          <w:color w:val="000000"/>
          <w:szCs w:val="21"/>
        </w:rPr>
        <w:t>9</w:t>
      </w:r>
      <w:r>
        <w:rPr>
          <w:color w:val="000000"/>
          <w:szCs w:val="21"/>
        </w:rPr>
        <w:t>.</w:t>
      </w:r>
      <w:r>
        <w:rPr>
          <w:rFonts w:hAnsi="宋体"/>
          <w:color w:val="000000"/>
          <w:szCs w:val="21"/>
        </w:rPr>
        <w:t>金融市场的主体就是指金融机构。</w:t>
      </w:r>
      <w:r>
        <w:rPr>
          <w:rFonts w:hint="eastAsia" w:hAnsi="宋体"/>
          <w:color w:val="000000"/>
          <w:szCs w:val="21"/>
        </w:rPr>
        <w:t xml:space="preserve">                                           （   ）</w:t>
      </w:r>
    </w:p>
    <w:p>
      <w:pPr>
        <w:spacing w:line="360" w:lineRule="auto"/>
        <w:rPr>
          <w:color w:val="000000"/>
          <w:szCs w:val="21"/>
        </w:rPr>
      </w:pPr>
      <w:r>
        <w:rPr>
          <w:rFonts w:hint="eastAsia"/>
          <w:color w:val="000000"/>
          <w:szCs w:val="21"/>
        </w:rPr>
        <w:t>10</w:t>
      </w:r>
      <w:r>
        <w:rPr>
          <w:color w:val="000000"/>
          <w:szCs w:val="21"/>
        </w:rPr>
        <w:t>.</w:t>
      </w:r>
      <w:r>
        <w:rPr>
          <w:rFonts w:hAnsi="宋体"/>
          <w:color w:val="000000"/>
          <w:szCs w:val="21"/>
        </w:rPr>
        <w:t>利率不仅包含时间价值，而且也包含风险价值和通货膨胀补偿率。</w:t>
      </w:r>
      <w:r>
        <w:rPr>
          <w:rFonts w:hint="eastAsia" w:hAnsi="宋体"/>
          <w:color w:val="000000"/>
          <w:szCs w:val="21"/>
        </w:rPr>
        <w:t xml:space="preserve">              （   ）</w:t>
      </w:r>
    </w:p>
    <w:p>
      <w:pPr>
        <w:spacing w:line="360" w:lineRule="auto"/>
        <w:rPr>
          <w:color w:val="000000"/>
          <w:szCs w:val="21"/>
        </w:rPr>
      </w:pPr>
      <w:r>
        <w:rPr>
          <w:rFonts w:hint="eastAsia"/>
          <w:color w:val="000000"/>
          <w:szCs w:val="21"/>
        </w:rPr>
        <w:t>11</w:t>
      </w:r>
      <w:r>
        <w:rPr>
          <w:color w:val="000000"/>
          <w:szCs w:val="21"/>
        </w:rPr>
        <w:t>.</w:t>
      </w:r>
      <w:r>
        <w:rPr>
          <w:rFonts w:hAnsi="宋体"/>
          <w:color w:val="000000"/>
          <w:szCs w:val="21"/>
        </w:rPr>
        <w:t>债券面值的基本内容即票面金额。</w:t>
      </w:r>
      <w:r>
        <w:rPr>
          <w:rFonts w:hint="eastAsia" w:hAnsi="宋体"/>
          <w:color w:val="000000"/>
          <w:szCs w:val="21"/>
        </w:rPr>
        <w:t xml:space="preserve">                                          （   ）</w:t>
      </w:r>
    </w:p>
    <w:p>
      <w:pPr>
        <w:spacing w:line="360" w:lineRule="auto"/>
        <w:rPr>
          <w:color w:val="000000"/>
          <w:szCs w:val="21"/>
        </w:rPr>
      </w:pPr>
      <w:r>
        <w:rPr>
          <w:rFonts w:hint="eastAsia"/>
          <w:color w:val="000000"/>
          <w:szCs w:val="21"/>
        </w:rPr>
        <w:t>12</w:t>
      </w:r>
      <w:r>
        <w:rPr>
          <w:color w:val="000000"/>
          <w:szCs w:val="21"/>
        </w:rPr>
        <w:t>.</w:t>
      </w:r>
      <w:r>
        <w:rPr>
          <w:rFonts w:hAnsi="宋体"/>
          <w:color w:val="000000"/>
          <w:szCs w:val="21"/>
        </w:rPr>
        <w:t>如果企业的财务管理人员认为目前的利率较低，未来有可能上升，便会大量发行短期债券。</w:t>
      </w:r>
      <w:r>
        <w:rPr>
          <w:rFonts w:hint="eastAsia" w:hAnsi="宋体"/>
          <w:color w:val="000000"/>
          <w:szCs w:val="21"/>
        </w:rPr>
        <w:t xml:space="preserve">                                                                      （   ）</w:t>
      </w:r>
    </w:p>
    <w:p>
      <w:pPr>
        <w:spacing w:line="360" w:lineRule="auto"/>
        <w:rPr>
          <w:color w:val="000000"/>
          <w:szCs w:val="21"/>
        </w:rPr>
      </w:pPr>
      <w:r>
        <w:rPr>
          <w:rFonts w:hint="eastAsia"/>
          <w:color w:val="000000"/>
          <w:szCs w:val="21"/>
        </w:rPr>
        <w:t>13</w:t>
      </w:r>
      <w:r>
        <w:rPr>
          <w:color w:val="000000"/>
          <w:szCs w:val="21"/>
        </w:rPr>
        <w:t>.</w:t>
      </w:r>
      <w:r>
        <w:rPr>
          <w:rFonts w:hAnsi="宋体"/>
          <w:color w:val="000000"/>
          <w:szCs w:val="21"/>
        </w:rPr>
        <w:t>在没有通货膨胀的情况下，必要收益率＝资金时间价值＋风险收益率。</w:t>
      </w:r>
      <w:r>
        <w:rPr>
          <w:rFonts w:hint="eastAsia" w:hAnsi="宋体"/>
          <w:color w:val="000000"/>
          <w:szCs w:val="21"/>
        </w:rPr>
        <w:t xml:space="preserve">          （   ）</w:t>
      </w:r>
    </w:p>
    <w:p>
      <w:pPr>
        <w:spacing w:line="360" w:lineRule="auto"/>
        <w:rPr>
          <w:color w:val="000000"/>
          <w:szCs w:val="21"/>
        </w:rPr>
      </w:pPr>
      <w:r>
        <w:rPr>
          <w:rFonts w:hint="eastAsia"/>
          <w:color w:val="000000"/>
          <w:szCs w:val="21"/>
        </w:rPr>
        <w:t>14</w:t>
      </w:r>
      <w:r>
        <w:rPr>
          <w:color w:val="000000"/>
          <w:szCs w:val="21"/>
        </w:rPr>
        <w:t>.</w:t>
      </w:r>
      <w:r>
        <w:rPr>
          <w:rFonts w:hAnsi="宋体"/>
          <w:color w:val="000000"/>
          <w:szCs w:val="21"/>
        </w:rPr>
        <w:t>普通股与公司债券相比能够更好的避免购买力风险。</w:t>
      </w:r>
      <w:r>
        <w:rPr>
          <w:rFonts w:hint="eastAsia" w:hAnsi="宋体"/>
          <w:color w:val="000000"/>
          <w:szCs w:val="21"/>
        </w:rPr>
        <w:t xml:space="preserve">                          （   ）</w:t>
      </w:r>
    </w:p>
    <w:p>
      <w:pPr>
        <w:spacing w:line="360" w:lineRule="auto"/>
        <w:rPr>
          <w:color w:val="000000"/>
          <w:szCs w:val="21"/>
        </w:rPr>
      </w:pPr>
      <w:r>
        <w:rPr>
          <w:rFonts w:hint="eastAsia"/>
          <w:color w:val="000000"/>
          <w:szCs w:val="21"/>
        </w:rPr>
        <w:t>15</w:t>
      </w:r>
      <w:r>
        <w:rPr>
          <w:color w:val="000000"/>
          <w:szCs w:val="21"/>
        </w:rPr>
        <w:t>.</w:t>
      </w:r>
      <w:r>
        <w:rPr>
          <w:rFonts w:hAnsi="宋体"/>
          <w:color w:val="000000"/>
          <w:szCs w:val="21"/>
        </w:rPr>
        <w:t>偿付能力是决定是否给予客户信用的首要因素。</w:t>
      </w:r>
      <w:r>
        <w:rPr>
          <w:rFonts w:hint="eastAsia" w:hAnsi="宋体"/>
          <w:color w:val="000000"/>
          <w:szCs w:val="21"/>
        </w:rPr>
        <w:t xml:space="preserve">                             （   ）</w:t>
      </w:r>
    </w:p>
    <w:p>
      <w:pPr>
        <w:spacing w:line="360" w:lineRule="auto"/>
        <w:rPr>
          <w:color w:val="000000"/>
          <w:szCs w:val="21"/>
        </w:rPr>
      </w:pPr>
      <w:r>
        <w:rPr>
          <w:rFonts w:hint="eastAsia"/>
          <w:color w:val="000000"/>
          <w:szCs w:val="21"/>
        </w:rPr>
        <w:t>16</w:t>
      </w:r>
      <w:r>
        <w:rPr>
          <w:color w:val="000000"/>
          <w:szCs w:val="21"/>
        </w:rPr>
        <w:t>.</w:t>
      </w:r>
      <w:r>
        <w:rPr>
          <w:rFonts w:hAnsi="宋体"/>
          <w:color w:val="000000"/>
          <w:szCs w:val="21"/>
        </w:rPr>
        <w:t>存货具有降低进货成本的功能。</w:t>
      </w:r>
      <w:r>
        <w:rPr>
          <w:rFonts w:hint="eastAsia" w:hAnsi="宋体"/>
          <w:color w:val="000000"/>
          <w:szCs w:val="21"/>
        </w:rPr>
        <w:t xml:space="preserve">                                            （   ）</w:t>
      </w:r>
    </w:p>
    <w:p>
      <w:pPr>
        <w:spacing w:line="360" w:lineRule="auto"/>
        <w:rPr>
          <w:color w:val="000000"/>
          <w:szCs w:val="21"/>
        </w:rPr>
      </w:pPr>
    </w:p>
    <w:p>
      <w:pPr>
        <w:spacing w:line="360" w:lineRule="auto"/>
        <w:rPr>
          <w:b/>
          <w:color w:val="000000"/>
          <w:szCs w:val="21"/>
        </w:rPr>
      </w:pPr>
      <w:r>
        <w:rPr>
          <w:rFonts w:hAnsi="宋体"/>
          <w:b/>
          <w:color w:val="000000"/>
          <w:szCs w:val="21"/>
        </w:rPr>
        <w:t>四</w:t>
      </w:r>
      <w:r>
        <w:rPr>
          <w:rFonts w:hint="eastAsia" w:hAnsi="宋体"/>
          <w:b/>
          <w:color w:val="000000"/>
          <w:szCs w:val="21"/>
        </w:rPr>
        <w:t>、</w:t>
      </w:r>
      <w:r>
        <w:rPr>
          <w:rFonts w:hAnsi="宋体"/>
          <w:b/>
          <w:color w:val="000000"/>
          <w:szCs w:val="21"/>
        </w:rPr>
        <w:t>名词解释</w:t>
      </w:r>
    </w:p>
    <w:p>
      <w:pPr>
        <w:spacing w:line="360" w:lineRule="auto"/>
        <w:jc w:val="left"/>
        <w:rPr>
          <w:color w:val="000000"/>
          <w:szCs w:val="21"/>
        </w:rPr>
      </w:pPr>
      <w:r>
        <w:rPr>
          <w:color w:val="000000"/>
          <w:szCs w:val="21"/>
        </w:rPr>
        <w:t>1.</w:t>
      </w:r>
      <w:r>
        <w:rPr>
          <w:rFonts w:hAnsi="宋体"/>
          <w:color w:val="000000"/>
          <w:szCs w:val="21"/>
        </w:rPr>
        <w:t>财务管理</w:t>
      </w:r>
    </w:p>
    <w:p>
      <w:pPr>
        <w:spacing w:line="360" w:lineRule="auto"/>
        <w:jc w:val="left"/>
        <w:rPr>
          <w:color w:val="000000"/>
          <w:szCs w:val="21"/>
        </w:rPr>
      </w:pPr>
      <w:r>
        <w:rPr>
          <w:color w:val="000000"/>
          <w:szCs w:val="21"/>
        </w:rPr>
        <w:t>2.</w:t>
      </w:r>
      <w:r>
        <w:rPr>
          <w:rFonts w:hAnsi="宋体"/>
          <w:color w:val="000000"/>
          <w:szCs w:val="21"/>
        </w:rPr>
        <w:t>资金的时间价值</w:t>
      </w:r>
    </w:p>
    <w:p>
      <w:pPr>
        <w:spacing w:line="360" w:lineRule="auto"/>
        <w:jc w:val="left"/>
        <w:rPr>
          <w:color w:val="000000"/>
          <w:szCs w:val="21"/>
        </w:rPr>
      </w:pPr>
      <w:r>
        <w:rPr>
          <w:color w:val="000000"/>
          <w:szCs w:val="21"/>
        </w:rPr>
        <w:t>3.</w:t>
      </w:r>
      <w:r>
        <w:rPr>
          <w:rFonts w:hAnsi="宋体"/>
          <w:color w:val="000000"/>
          <w:szCs w:val="21"/>
        </w:rPr>
        <w:t>金融衍生品</w:t>
      </w:r>
    </w:p>
    <w:p>
      <w:pPr>
        <w:spacing w:line="360" w:lineRule="auto"/>
        <w:jc w:val="left"/>
        <w:rPr>
          <w:color w:val="000000"/>
          <w:szCs w:val="21"/>
        </w:rPr>
      </w:pPr>
      <w:r>
        <w:rPr>
          <w:color w:val="000000"/>
          <w:szCs w:val="21"/>
        </w:rPr>
        <w:t>4.</w:t>
      </w:r>
      <w:r>
        <w:rPr>
          <w:rFonts w:hAnsi="宋体"/>
          <w:color w:val="000000"/>
          <w:szCs w:val="21"/>
        </w:rPr>
        <w:t>价格</w:t>
      </w:r>
    </w:p>
    <w:p>
      <w:pPr>
        <w:spacing w:line="360" w:lineRule="auto"/>
        <w:jc w:val="left"/>
        <w:rPr>
          <w:color w:val="000000"/>
          <w:szCs w:val="21"/>
        </w:rPr>
      </w:pPr>
      <w:r>
        <w:rPr>
          <w:rFonts w:hint="eastAsia" w:hAnsi="宋体"/>
          <w:color w:val="000000"/>
          <w:szCs w:val="21"/>
        </w:rPr>
        <w:t>5.</w:t>
      </w:r>
      <w:r>
        <w:rPr>
          <w:rFonts w:hAnsi="宋体"/>
          <w:color w:val="000000"/>
          <w:szCs w:val="21"/>
        </w:rPr>
        <w:t>风险</w:t>
      </w:r>
    </w:p>
    <w:p>
      <w:pPr>
        <w:spacing w:line="360" w:lineRule="auto"/>
        <w:jc w:val="left"/>
        <w:rPr>
          <w:color w:val="000000"/>
          <w:szCs w:val="21"/>
        </w:rPr>
      </w:pPr>
      <w:r>
        <w:rPr>
          <w:rFonts w:hint="eastAsia" w:hAnsi="宋体"/>
          <w:color w:val="000000"/>
          <w:szCs w:val="21"/>
        </w:rPr>
        <w:t>6.</w:t>
      </w:r>
      <w:r>
        <w:rPr>
          <w:rFonts w:hAnsi="宋体"/>
          <w:color w:val="000000"/>
          <w:szCs w:val="21"/>
        </w:rPr>
        <w:t>现金流量</w:t>
      </w:r>
    </w:p>
    <w:p>
      <w:pPr>
        <w:pStyle w:val="5"/>
        <w:spacing w:before="0" w:beforeAutospacing="0" w:after="0" w:afterAutospacing="0" w:line="360" w:lineRule="auto"/>
        <w:rPr>
          <w:rFonts w:ascii="Times New Roman" w:cs="Times New Roman"/>
          <w:color w:val="000000"/>
          <w:sz w:val="21"/>
          <w:szCs w:val="21"/>
        </w:rPr>
      </w:pPr>
      <w:r>
        <w:rPr>
          <w:rFonts w:hint="eastAsia" w:ascii="Times New Roman" w:cs="Times New Roman"/>
          <w:color w:val="000000"/>
          <w:sz w:val="21"/>
          <w:szCs w:val="21"/>
        </w:rPr>
        <w:t>7.</w:t>
      </w:r>
      <w:r>
        <w:rPr>
          <w:rFonts w:ascii="Times New Roman" w:cs="Times New Roman"/>
          <w:color w:val="000000"/>
          <w:sz w:val="21"/>
          <w:szCs w:val="21"/>
        </w:rPr>
        <w:t>净现值</w:t>
      </w:r>
    </w:p>
    <w:p>
      <w:pPr>
        <w:pStyle w:val="5"/>
        <w:spacing w:before="0" w:beforeAutospacing="0" w:after="0" w:afterAutospacing="0" w:line="360" w:lineRule="auto"/>
        <w:rPr>
          <w:color w:val="000000"/>
          <w:szCs w:val="21"/>
        </w:rPr>
      </w:pPr>
      <w:r>
        <w:rPr>
          <w:rFonts w:hint="eastAsia"/>
          <w:color w:val="000000"/>
          <w:sz w:val="21"/>
          <w:szCs w:val="21"/>
        </w:rPr>
        <w:t>8.</w:t>
      </w:r>
      <w:r>
        <w:rPr>
          <w:color w:val="000000"/>
          <w:sz w:val="21"/>
          <w:szCs w:val="21"/>
        </w:rPr>
        <w:t>应收账款</w:t>
      </w:r>
    </w:p>
    <w:p>
      <w:pPr>
        <w:spacing w:line="360" w:lineRule="auto"/>
        <w:jc w:val="left"/>
        <w:rPr>
          <w:color w:val="000000"/>
          <w:szCs w:val="21"/>
        </w:rPr>
      </w:pPr>
      <w:r>
        <w:rPr>
          <w:rFonts w:hAnsi="宋体"/>
          <w:b/>
          <w:color w:val="000000"/>
          <w:szCs w:val="21"/>
        </w:rPr>
        <w:t>五</w:t>
      </w:r>
      <w:r>
        <w:rPr>
          <w:rFonts w:hint="eastAsia" w:hAnsi="宋体"/>
          <w:b/>
          <w:color w:val="000000"/>
          <w:szCs w:val="21"/>
        </w:rPr>
        <w:t>、</w:t>
      </w:r>
      <w:r>
        <w:rPr>
          <w:rFonts w:hAnsi="宋体"/>
          <w:b/>
          <w:color w:val="000000"/>
          <w:szCs w:val="21"/>
        </w:rPr>
        <w:t>简答题</w:t>
      </w:r>
    </w:p>
    <w:p>
      <w:pPr>
        <w:pStyle w:val="5"/>
        <w:spacing w:before="0" w:beforeAutospacing="0" w:after="0" w:afterAutospacing="0" w:line="360" w:lineRule="auto"/>
        <w:rPr>
          <w:rFonts w:ascii="Times New Roman" w:cs="Times New Roman"/>
          <w:color w:val="000000"/>
          <w:sz w:val="21"/>
          <w:szCs w:val="21"/>
        </w:rPr>
      </w:pPr>
      <w:r>
        <w:rPr>
          <w:rFonts w:ascii="Times New Roman" w:hAnsi="Times New Roman" w:cs="Times New Roman"/>
          <w:color w:val="000000"/>
          <w:sz w:val="21"/>
          <w:szCs w:val="21"/>
        </w:rPr>
        <w:t>1.</w:t>
      </w:r>
      <w:r>
        <w:rPr>
          <w:rFonts w:ascii="Times New Roman" w:cs="Times New Roman"/>
          <w:color w:val="000000"/>
          <w:sz w:val="21"/>
          <w:szCs w:val="21"/>
        </w:rPr>
        <w:t>简述降低资本成本的途径。</w:t>
      </w:r>
    </w:p>
    <w:p>
      <w:pPr>
        <w:pStyle w:val="5"/>
        <w:spacing w:before="0" w:beforeAutospacing="0" w:after="0" w:afterAutospacing="0" w:line="360" w:lineRule="auto"/>
        <w:rPr>
          <w:rFonts w:ascii="Times New Roman" w:hAnsi="Times New Roman" w:cs="Times New Roman"/>
          <w:color w:val="000000"/>
          <w:sz w:val="21"/>
          <w:szCs w:val="21"/>
        </w:rPr>
      </w:pPr>
      <w:r>
        <w:rPr>
          <w:rFonts w:hint="eastAsia" w:ascii="Times New Roman" w:hAnsi="Times New Roman" w:cs="Times New Roman"/>
          <w:color w:val="000000"/>
          <w:sz w:val="21"/>
          <w:szCs w:val="21"/>
        </w:rPr>
        <w:t>2</w:t>
      </w:r>
      <w:r>
        <w:rPr>
          <w:rFonts w:ascii="Times New Roman" w:hAnsi="Times New Roman" w:cs="Times New Roman"/>
          <w:color w:val="000000"/>
          <w:sz w:val="21"/>
          <w:szCs w:val="21"/>
        </w:rPr>
        <w:t>.</w:t>
      </w:r>
      <w:r>
        <w:rPr>
          <w:rFonts w:hint="eastAsia" w:ascii="Times New Roman" w:hAnsi="Times New Roman" w:cs="Times New Roman"/>
          <w:color w:val="000000"/>
          <w:sz w:val="21"/>
          <w:szCs w:val="21"/>
        </w:rPr>
        <w:t>简述</w:t>
      </w:r>
      <w:r>
        <w:rPr>
          <w:rFonts w:ascii="Times New Roman" w:cs="Times New Roman"/>
          <w:color w:val="000000"/>
          <w:sz w:val="21"/>
          <w:szCs w:val="21"/>
        </w:rPr>
        <w:t>财务管理</w:t>
      </w:r>
      <w:r>
        <w:rPr>
          <w:rFonts w:hint="eastAsia" w:ascii="Times New Roman" w:cs="Times New Roman"/>
          <w:color w:val="000000"/>
          <w:sz w:val="21"/>
          <w:szCs w:val="21"/>
        </w:rPr>
        <w:t>的</w:t>
      </w:r>
      <w:r>
        <w:rPr>
          <w:rFonts w:ascii="Times New Roman" w:cs="Times New Roman"/>
          <w:color w:val="000000"/>
          <w:sz w:val="21"/>
          <w:szCs w:val="21"/>
        </w:rPr>
        <w:t>原则</w:t>
      </w:r>
      <w:r>
        <w:rPr>
          <w:rFonts w:hint="eastAsia" w:ascii="Times New Roman" w:cs="Times New Roman"/>
          <w:color w:val="000000"/>
          <w:sz w:val="21"/>
          <w:szCs w:val="21"/>
        </w:rPr>
        <w:t>。</w:t>
      </w:r>
    </w:p>
    <w:p>
      <w:pPr>
        <w:pStyle w:val="5"/>
        <w:spacing w:before="0" w:beforeAutospacing="0" w:after="0" w:afterAutospacing="0" w:line="360" w:lineRule="auto"/>
        <w:rPr>
          <w:rFonts w:ascii="Times New Roman" w:hAnsi="Times New Roman" w:cs="Times New Roman"/>
          <w:color w:val="000000"/>
          <w:sz w:val="21"/>
          <w:szCs w:val="21"/>
        </w:rPr>
      </w:pPr>
    </w:p>
    <w:p>
      <w:pPr>
        <w:spacing w:line="360" w:lineRule="auto"/>
        <w:rPr>
          <w:b/>
          <w:color w:val="000000"/>
          <w:szCs w:val="21"/>
        </w:rPr>
      </w:pPr>
      <w:r>
        <w:rPr>
          <w:rFonts w:hAnsi="宋体"/>
          <w:b/>
          <w:color w:val="000000"/>
          <w:szCs w:val="21"/>
        </w:rPr>
        <w:t>六</w:t>
      </w:r>
      <w:r>
        <w:rPr>
          <w:rFonts w:hint="eastAsia" w:hAnsi="宋体"/>
          <w:b/>
          <w:color w:val="000000"/>
          <w:szCs w:val="21"/>
        </w:rPr>
        <w:t>、</w:t>
      </w:r>
      <w:r>
        <w:rPr>
          <w:rFonts w:hAnsi="宋体"/>
          <w:b/>
          <w:color w:val="000000"/>
          <w:szCs w:val="21"/>
        </w:rPr>
        <w:t>计算题</w:t>
      </w:r>
    </w:p>
    <w:p>
      <w:pPr>
        <w:widowControl/>
        <w:spacing w:line="360" w:lineRule="auto"/>
        <w:jc w:val="left"/>
        <w:rPr>
          <w:color w:val="000000"/>
          <w:szCs w:val="21"/>
        </w:rPr>
      </w:pPr>
      <w:r>
        <w:rPr>
          <w:rFonts w:hint="eastAsia"/>
          <w:color w:val="000000"/>
          <w:szCs w:val="21"/>
        </w:rPr>
        <w:t>1</w:t>
      </w:r>
      <w:r>
        <w:rPr>
          <w:color w:val="000000"/>
          <w:szCs w:val="21"/>
        </w:rPr>
        <w:t>.</w:t>
      </w:r>
      <w:r>
        <w:rPr>
          <w:rFonts w:hAnsi="宋体"/>
          <w:color w:val="000000"/>
          <w:szCs w:val="21"/>
        </w:rPr>
        <w:t>甲企业拟建造一项生产设备，预计建设期为</w:t>
      </w:r>
      <w:r>
        <w:rPr>
          <w:color w:val="000000"/>
          <w:szCs w:val="21"/>
        </w:rPr>
        <w:t>1</w:t>
      </w:r>
      <w:r>
        <w:rPr>
          <w:rFonts w:hAnsi="宋体"/>
          <w:color w:val="000000"/>
          <w:szCs w:val="21"/>
        </w:rPr>
        <w:t>年，所需原始投资</w:t>
      </w:r>
      <w:r>
        <w:rPr>
          <w:color w:val="000000"/>
          <w:szCs w:val="21"/>
        </w:rPr>
        <w:t>100</w:t>
      </w:r>
      <w:r>
        <w:rPr>
          <w:rFonts w:hAnsi="宋体"/>
          <w:color w:val="000000"/>
          <w:szCs w:val="21"/>
        </w:rPr>
        <w:t>万元于建设起点一次投入。该设备预计使用寿命为</w:t>
      </w:r>
      <w:r>
        <w:rPr>
          <w:color w:val="000000"/>
          <w:szCs w:val="21"/>
        </w:rPr>
        <w:t>4</w:t>
      </w:r>
      <w:r>
        <w:rPr>
          <w:rFonts w:hAnsi="宋体"/>
          <w:color w:val="000000"/>
          <w:szCs w:val="21"/>
        </w:rPr>
        <w:t>年，使用期满报废清理时残值</w:t>
      </w:r>
      <w:r>
        <w:rPr>
          <w:color w:val="000000"/>
          <w:szCs w:val="21"/>
        </w:rPr>
        <w:t>5</w:t>
      </w:r>
      <w:r>
        <w:rPr>
          <w:rFonts w:hAnsi="宋体"/>
          <w:color w:val="000000"/>
          <w:szCs w:val="21"/>
        </w:rPr>
        <w:t>万元。该设备折旧方法采用双倍余额递减法。该设备投产后每年增加净利润</w:t>
      </w:r>
      <w:r>
        <w:rPr>
          <w:color w:val="000000"/>
          <w:szCs w:val="21"/>
        </w:rPr>
        <w:t>30</w:t>
      </w:r>
      <w:r>
        <w:rPr>
          <w:rFonts w:hAnsi="宋体"/>
          <w:color w:val="000000"/>
          <w:szCs w:val="21"/>
        </w:rPr>
        <w:t>万元。假定适用的行业基准折现率为</w:t>
      </w:r>
      <w:r>
        <w:rPr>
          <w:color w:val="000000"/>
          <w:szCs w:val="21"/>
        </w:rPr>
        <w:t>10%</w:t>
      </w:r>
      <w:r>
        <w:rPr>
          <w:rFonts w:hAnsi="宋体"/>
          <w:color w:val="000000"/>
          <w:szCs w:val="21"/>
        </w:rPr>
        <w:t>。</w:t>
      </w:r>
    </w:p>
    <w:p>
      <w:pPr>
        <w:widowControl/>
        <w:spacing w:line="360" w:lineRule="auto"/>
        <w:jc w:val="left"/>
        <w:rPr>
          <w:color w:val="000000"/>
          <w:szCs w:val="21"/>
        </w:rPr>
      </w:pPr>
      <w:r>
        <w:rPr>
          <w:rFonts w:hAnsi="宋体"/>
          <w:color w:val="000000"/>
          <w:szCs w:val="21"/>
        </w:rPr>
        <w:t>要求：</w:t>
      </w:r>
    </w:p>
    <w:p>
      <w:pPr>
        <w:widowControl/>
        <w:spacing w:line="360" w:lineRule="auto"/>
        <w:ind w:firstLine="420" w:firstLineChars="200"/>
        <w:jc w:val="left"/>
        <w:rPr>
          <w:color w:val="000000"/>
          <w:szCs w:val="21"/>
        </w:rPr>
      </w:pPr>
      <w:r>
        <w:rPr>
          <w:rFonts w:hAnsi="宋体"/>
          <w:color w:val="000000"/>
          <w:szCs w:val="21"/>
        </w:rPr>
        <w:t>（</w:t>
      </w:r>
      <w:r>
        <w:rPr>
          <w:color w:val="000000"/>
          <w:szCs w:val="21"/>
        </w:rPr>
        <w:t>1</w:t>
      </w:r>
      <w:r>
        <w:rPr>
          <w:rFonts w:hAnsi="宋体"/>
          <w:color w:val="000000"/>
          <w:szCs w:val="21"/>
        </w:rPr>
        <w:t>）计算项目计算期内各年的净现金流量；</w:t>
      </w:r>
    </w:p>
    <w:p>
      <w:pPr>
        <w:widowControl/>
        <w:spacing w:line="360" w:lineRule="auto"/>
        <w:ind w:firstLine="420" w:firstLineChars="200"/>
        <w:jc w:val="left"/>
        <w:rPr>
          <w:color w:val="000000"/>
          <w:szCs w:val="21"/>
        </w:rPr>
      </w:pPr>
      <w:r>
        <w:rPr>
          <w:rFonts w:hAnsi="宋体"/>
          <w:color w:val="000000"/>
          <w:szCs w:val="21"/>
        </w:rPr>
        <w:t>（</w:t>
      </w:r>
      <w:r>
        <w:rPr>
          <w:color w:val="000000"/>
          <w:szCs w:val="21"/>
        </w:rPr>
        <w:t>2</w:t>
      </w:r>
      <w:r>
        <w:rPr>
          <w:rFonts w:hAnsi="宋体"/>
          <w:color w:val="000000"/>
          <w:szCs w:val="21"/>
        </w:rPr>
        <w:t>）计算该项目的净现值、净现值率、获利指数；</w:t>
      </w:r>
    </w:p>
    <w:p>
      <w:pPr>
        <w:widowControl/>
        <w:spacing w:line="360" w:lineRule="auto"/>
        <w:ind w:firstLine="420" w:firstLineChars="200"/>
        <w:jc w:val="left"/>
        <w:rPr>
          <w:color w:val="000000"/>
          <w:szCs w:val="21"/>
        </w:rPr>
      </w:pPr>
      <w:r>
        <w:rPr>
          <w:rFonts w:hAnsi="宋体"/>
          <w:color w:val="000000"/>
          <w:szCs w:val="21"/>
        </w:rPr>
        <w:t>（</w:t>
      </w:r>
      <w:r>
        <w:rPr>
          <w:color w:val="000000"/>
          <w:szCs w:val="21"/>
        </w:rPr>
        <w:t>3</w:t>
      </w:r>
      <w:r>
        <w:rPr>
          <w:rFonts w:hAnsi="宋体"/>
          <w:color w:val="000000"/>
          <w:szCs w:val="21"/>
        </w:rPr>
        <w:t>）利用净现值指标评价该投资项目的财务可行性。</w:t>
      </w:r>
      <w:r>
        <w:rPr>
          <w:color w:val="000000"/>
          <w:szCs w:val="21"/>
        </w:rPr>
        <w:t>   </w:t>
      </w:r>
    </w:p>
    <w:p>
      <w:pPr>
        <w:spacing w:line="360" w:lineRule="auto"/>
        <w:rPr>
          <w:color w:val="000000"/>
          <w:szCs w:val="21"/>
        </w:rPr>
      </w:pPr>
      <w:r>
        <w:rPr>
          <w:rFonts w:hint="eastAsia"/>
          <w:color w:val="000000"/>
          <w:szCs w:val="21"/>
        </w:rPr>
        <w:t>2</w:t>
      </w:r>
      <w:r>
        <w:rPr>
          <w:color w:val="000000"/>
          <w:szCs w:val="21"/>
        </w:rPr>
        <w:t>.</w:t>
      </w:r>
      <w:r>
        <w:rPr>
          <w:rFonts w:hAnsi="宋体"/>
          <w:color w:val="000000"/>
          <w:szCs w:val="21"/>
        </w:rPr>
        <w:t>某企业发行普通股</w:t>
      </w:r>
      <w:r>
        <w:rPr>
          <w:color w:val="000000"/>
          <w:szCs w:val="21"/>
        </w:rPr>
        <w:t>800</w:t>
      </w:r>
      <w:r>
        <w:rPr>
          <w:rFonts w:hAnsi="宋体"/>
          <w:color w:val="000000"/>
          <w:szCs w:val="21"/>
        </w:rPr>
        <w:t>万元，发行价为</w:t>
      </w:r>
      <w:r>
        <w:rPr>
          <w:color w:val="000000"/>
          <w:szCs w:val="21"/>
        </w:rPr>
        <w:t>8</w:t>
      </w:r>
      <w:r>
        <w:rPr>
          <w:rFonts w:hAnsi="宋体"/>
          <w:color w:val="000000"/>
          <w:szCs w:val="21"/>
        </w:rPr>
        <w:t>元</w:t>
      </w:r>
      <w:r>
        <w:rPr>
          <w:color w:val="000000"/>
          <w:szCs w:val="21"/>
        </w:rPr>
        <w:t>/</w:t>
      </w:r>
      <w:r>
        <w:rPr>
          <w:rFonts w:hAnsi="宋体"/>
          <w:color w:val="000000"/>
          <w:szCs w:val="21"/>
        </w:rPr>
        <w:t>股，筹资费率为</w:t>
      </w:r>
      <w:r>
        <w:rPr>
          <w:color w:val="000000"/>
          <w:szCs w:val="21"/>
        </w:rPr>
        <w:t>6%</w:t>
      </w:r>
      <w:r>
        <w:rPr>
          <w:rFonts w:hAnsi="宋体"/>
          <w:color w:val="000000"/>
          <w:szCs w:val="21"/>
        </w:rPr>
        <w:t>，第一年预期股利为</w:t>
      </w:r>
      <w:r>
        <w:rPr>
          <w:color w:val="000000"/>
          <w:szCs w:val="21"/>
        </w:rPr>
        <w:t>0.8</w:t>
      </w:r>
      <w:r>
        <w:rPr>
          <w:rFonts w:hAnsi="宋体"/>
          <w:color w:val="000000"/>
          <w:szCs w:val="21"/>
        </w:rPr>
        <w:t>元</w:t>
      </w:r>
      <w:r>
        <w:rPr>
          <w:color w:val="000000"/>
          <w:szCs w:val="21"/>
        </w:rPr>
        <w:t>/</w:t>
      </w:r>
      <w:r>
        <w:rPr>
          <w:rFonts w:hAnsi="宋体"/>
          <w:color w:val="000000"/>
          <w:szCs w:val="21"/>
        </w:rPr>
        <w:t>股，以后各年增长</w:t>
      </w:r>
      <w:r>
        <w:rPr>
          <w:color w:val="000000"/>
          <w:szCs w:val="21"/>
        </w:rPr>
        <w:t>2%</w:t>
      </w:r>
      <w:r>
        <w:rPr>
          <w:rFonts w:hAnsi="宋体"/>
          <w:color w:val="000000"/>
          <w:szCs w:val="21"/>
        </w:rPr>
        <w:t>；该公司股票的贝他系数等于</w:t>
      </w:r>
      <w:r>
        <w:rPr>
          <w:color w:val="000000"/>
          <w:szCs w:val="21"/>
        </w:rPr>
        <w:t>1.2</w:t>
      </w:r>
      <w:r>
        <w:rPr>
          <w:rFonts w:hAnsi="宋体"/>
          <w:color w:val="000000"/>
          <w:szCs w:val="21"/>
        </w:rPr>
        <w:t>，无风险利率为</w:t>
      </w:r>
      <w:r>
        <w:rPr>
          <w:color w:val="000000"/>
          <w:szCs w:val="21"/>
        </w:rPr>
        <w:t>8</w:t>
      </w:r>
      <w:r>
        <w:rPr>
          <w:rFonts w:hAnsi="宋体"/>
          <w:color w:val="000000"/>
          <w:szCs w:val="21"/>
        </w:rPr>
        <w:t>％，市场上所有股票的平均收益率为</w:t>
      </w:r>
      <w:r>
        <w:rPr>
          <w:color w:val="000000"/>
          <w:szCs w:val="21"/>
        </w:rPr>
        <w:t>12</w:t>
      </w:r>
      <w:r>
        <w:rPr>
          <w:rFonts w:hAnsi="宋体"/>
          <w:color w:val="000000"/>
          <w:szCs w:val="21"/>
        </w:rPr>
        <w:t>％，风险溢价为</w:t>
      </w:r>
      <w:r>
        <w:rPr>
          <w:color w:val="000000"/>
          <w:szCs w:val="21"/>
        </w:rPr>
        <w:t>4</w:t>
      </w:r>
      <w:r>
        <w:rPr>
          <w:rFonts w:hAnsi="宋体"/>
          <w:color w:val="000000"/>
          <w:szCs w:val="21"/>
        </w:rPr>
        <w:t>％。</w:t>
      </w:r>
    </w:p>
    <w:p>
      <w:pPr>
        <w:spacing w:line="360" w:lineRule="auto"/>
        <w:rPr>
          <w:rFonts w:hAnsi="宋体"/>
          <w:color w:val="000000"/>
          <w:szCs w:val="21"/>
        </w:rPr>
      </w:pPr>
      <w:r>
        <w:rPr>
          <w:rFonts w:hAnsi="宋体"/>
          <w:color w:val="000000"/>
          <w:szCs w:val="21"/>
        </w:rPr>
        <w:t>要求：</w:t>
      </w:r>
    </w:p>
    <w:p>
      <w:pPr>
        <w:spacing w:line="360" w:lineRule="auto"/>
        <w:ind w:firstLine="420" w:firstLineChars="200"/>
        <w:rPr>
          <w:color w:val="000000"/>
          <w:szCs w:val="21"/>
        </w:rPr>
      </w:pPr>
      <w:r>
        <w:rPr>
          <w:rFonts w:hAnsi="宋体"/>
          <w:color w:val="000000"/>
          <w:szCs w:val="21"/>
        </w:rPr>
        <w:t>根据上述资料使用股利折现模型、资本资产定价模型以及无风险利率加风险溢价法分别计算普通股的资金成本。</w:t>
      </w:r>
    </w:p>
    <w:p>
      <w:pPr>
        <w:spacing w:line="360" w:lineRule="auto"/>
        <w:jc w:val="left"/>
        <w:rPr>
          <w:color w:val="000000"/>
          <w:szCs w:val="21"/>
        </w:rPr>
      </w:pPr>
    </w:p>
    <w:p>
      <w:pPr>
        <w:spacing w:line="360" w:lineRule="auto"/>
        <w:jc w:val="left"/>
        <w:rPr>
          <w:color w:val="000000"/>
          <w:szCs w:val="21"/>
        </w:rPr>
      </w:pPr>
    </w:p>
    <w:p>
      <w:pPr>
        <w:spacing w:line="360" w:lineRule="auto"/>
        <w:rPr>
          <w:color w:val="000000"/>
          <w:szCs w:val="21"/>
        </w:rPr>
      </w:pPr>
    </w:p>
    <w:p>
      <w:pPr>
        <w:spacing w:line="360" w:lineRule="auto"/>
        <w:jc w:val="center"/>
        <w:rPr>
          <w:b/>
          <w:color w:val="000000"/>
          <w:sz w:val="32"/>
          <w:szCs w:val="32"/>
        </w:rPr>
      </w:pPr>
    </w:p>
    <w:p>
      <w:pPr>
        <w:spacing w:line="360" w:lineRule="auto"/>
        <w:jc w:val="center"/>
        <w:rPr>
          <w:b/>
          <w:color w:val="000000"/>
          <w:sz w:val="32"/>
          <w:szCs w:val="32"/>
        </w:rPr>
      </w:pPr>
    </w:p>
    <w:p>
      <w:pPr>
        <w:spacing w:line="360" w:lineRule="auto"/>
        <w:jc w:val="center"/>
        <w:rPr>
          <w:b/>
          <w:color w:val="000000"/>
          <w:sz w:val="32"/>
          <w:szCs w:val="32"/>
        </w:rPr>
      </w:pPr>
    </w:p>
    <w:p>
      <w:pPr>
        <w:spacing w:line="360" w:lineRule="auto"/>
        <w:jc w:val="center"/>
        <w:rPr>
          <w:b/>
          <w:color w:val="000000"/>
          <w:sz w:val="32"/>
          <w:szCs w:val="32"/>
        </w:rPr>
      </w:pPr>
    </w:p>
    <w:p>
      <w:pPr>
        <w:spacing w:line="360" w:lineRule="auto"/>
        <w:jc w:val="center"/>
        <w:rPr>
          <w:b/>
          <w:color w:val="000000"/>
          <w:sz w:val="32"/>
          <w:szCs w:val="32"/>
        </w:rPr>
      </w:pPr>
    </w:p>
    <w:p>
      <w:pPr>
        <w:spacing w:line="360" w:lineRule="auto"/>
        <w:jc w:val="center"/>
        <w:rPr>
          <w:b/>
          <w:color w:val="000000"/>
          <w:sz w:val="32"/>
          <w:szCs w:val="32"/>
        </w:rPr>
      </w:pPr>
    </w:p>
    <w:p>
      <w:pPr>
        <w:spacing w:line="360" w:lineRule="auto"/>
        <w:jc w:val="center"/>
        <w:rPr>
          <w:b/>
          <w:color w:val="000000"/>
          <w:sz w:val="32"/>
          <w:szCs w:val="32"/>
        </w:rPr>
      </w:pPr>
      <w:r>
        <w:rPr>
          <w:rFonts w:hint="eastAsia"/>
          <w:b/>
          <w:color w:val="000000"/>
          <w:sz w:val="32"/>
          <w:szCs w:val="32"/>
        </w:rPr>
        <w:t>参考答案</w:t>
      </w:r>
    </w:p>
    <w:p>
      <w:pPr>
        <w:spacing w:line="360" w:lineRule="auto"/>
        <w:jc w:val="left"/>
        <w:rPr>
          <w:color w:val="000000"/>
          <w:szCs w:val="21"/>
        </w:rPr>
      </w:pPr>
      <w:r>
        <w:rPr>
          <w:rFonts w:hAnsi="宋体"/>
          <w:b/>
          <w:color w:val="000000"/>
          <w:szCs w:val="21"/>
        </w:rPr>
        <w:t>一</w:t>
      </w:r>
      <w:r>
        <w:rPr>
          <w:rFonts w:hint="eastAsia" w:hAnsi="宋体"/>
          <w:b/>
          <w:color w:val="000000"/>
          <w:szCs w:val="21"/>
        </w:rPr>
        <w:t>、</w:t>
      </w:r>
      <w:r>
        <w:rPr>
          <w:rFonts w:hAnsi="宋体"/>
          <w:b/>
          <w:color w:val="000000"/>
          <w:szCs w:val="21"/>
        </w:rPr>
        <w:t>单项选择题</w:t>
      </w:r>
    </w:p>
    <w:tbl>
      <w:tblPr>
        <w:tblStyle w:val="9"/>
        <w:tblW w:w="85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3"/>
        <w:gridCol w:w="853"/>
        <w:gridCol w:w="852"/>
        <w:gridCol w:w="852"/>
        <w:gridCol w:w="852"/>
        <w:gridCol w:w="852"/>
        <w:gridCol w:w="852"/>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spacing w:line="360" w:lineRule="auto"/>
              <w:jc w:val="center"/>
              <w:rPr>
                <w:b/>
                <w:color w:val="000000"/>
                <w:szCs w:val="21"/>
              </w:rPr>
            </w:pPr>
            <w:r>
              <w:rPr>
                <w:b/>
                <w:color w:val="000000"/>
                <w:szCs w:val="21"/>
              </w:rPr>
              <w:t>1</w:t>
            </w:r>
          </w:p>
        </w:tc>
        <w:tc>
          <w:tcPr>
            <w:tcW w:w="852" w:type="dxa"/>
            <w:vAlign w:val="top"/>
          </w:tcPr>
          <w:p>
            <w:pPr>
              <w:spacing w:line="360" w:lineRule="auto"/>
              <w:jc w:val="center"/>
              <w:rPr>
                <w:b/>
                <w:color w:val="000000"/>
                <w:szCs w:val="21"/>
              </w:rPr>
            </w:pPr>
            <w:r>
              <w:rPr>
                <w:b/>
                <w:color w:val="000000"/>
                <w:szCs w:val="21"/>
              </w:rPr>
              <w:t>2</w:t>
            </w:r>
          </w:p>
        </w:tc>
        <w:tc>
          <w:tcPr>
            <w:tcW w:w="853" w:type="dxa"/>
            <w:vAlign w:val="top"/>
          </w:tcPr>
          <w:p>
            <w:pPr>
              <w:spacing w:line="360" w:lineRule="auto"/>
              <w:jc w:val="center"/>
              <w:rPr>
                <w:b/>
                <w:color w:val="000000"/>
                <w:szCs w:val="21"/>
              </w:rPr>
            </w:pPr>
            <w:r>
              <w:rPr>
                <w:b/>
                <w:color w:val="000000"/>
                <w:szCs w:val="21"/>
              </w:rPr>
              <w:t>3</w:t>
            </w:r>
          </w:p>
        </w:tc>
        <w:tc>
          <w:tcPr>
            <w:tcW w:w="853" w:type="dxa"/>
            <w:vAlign w:val="top"/>
          </w:tcPr>
          <w:p>
            <w:pPr>
              <w:spacing w:line="360" w:lineRule="auto"/>
              <w:jc w:val="center"/>
              <w:rPr>
                <w:b/>
                <w:color w:val="000000"/>
                <w:szCs w:val="21"/>
              </w:rPr>
            </w:pPr>
            <w:r>
              <w:rPr>
                <w:b/>
                <w:color w:val="000000"/>
                <w:szCs w:val="21"/>
              </w:rPr>
              <w:t>4</w:t>
            </w:r>
          </w:p>
        </w:tc>
        <w:tc>
          <w:tcPr>
            <w:tcW w:w="852" w:type="dxa"/>
            <w:vAlign w:val="top"/>
          </w:tcPr>
          <w:p>
            <w:pPr>
              <w:spacing w:line="360" w:lineRule="auto"/>
              <w:jc w:val="center"/>
              <w:rPr>
                <w:b/>
                <w:color w:val="000000"/>
                <w:szCs w:val="21"/>
              </w:rPr>
            </w:pPr>
            <w:r>
              <w:rPr>
                <w:b/>
                <w:color w:val="000000"/>
                <w:szCs w:val="21"/>
              </w:rPr>
              <w:t>5</w:t>
            </w:r>
          </w:p>
        </w:tc>
        <w:tc>
          <w:tcPr>
            <w:tcW w:w="852" w:type="dxa"/>
            <w:vAlign w:val="top"/>
          </w:tcPr>
          <w:p>
            <w:pPr>
              <w:spacing w:line="360" w:lineRule="auto"/>
              <w:jc w:val="center"/>
              <w:rPr>
                <w:b/>
                <w:color w:val="000000"/>
                <w:szCs w:val="21"/>
              </w:rPr>
            </w:pPr>
            <w:r>
              <w:rPr>
                <w:b/>
                <w:color w:val="000000"/>
                <w:szCs w:val="21"/>
              </w:rPr>
              <w:t>6</w:t>
            </w:r>
          </w:p>
        </w:tc>
        <w:tc>
          <w:tcPr>
            <w:tcW w:w="852" w:type="dxa"/>
            <w:vAlign w:val="top"/>
          </w:tcPr>
          <w:p>
            <w:pPr>
              <w:spacing w:line="360" w:lineRule="auto"/>
              <w:jc w:val="center"/>
              <w:rPr>
                <w:b/>
                <w:color w:val="000000"/>
                <w:szCs w:val="21"/>
              </w:rPr>
            </w:pPr>
            <w:r>
              <w:rPr>
                <w:b/>
                <w:color w:val="000000"/>
                <w:szCs w:val="21"/>
              </w:rPr>
              <w:t>7</w:t>
            </w:r>
          </w:p>
        </w:tc>
        <w:tc>
          <w:tcPr>
            <w:tcW w:w="852" w:type="dxa"/>
            <w:vAlign w:val="top"/>
          </w:tcPr>
          <w:p>
            <w:pPr>
              <w:spacing w:line="360" w:lineRule="auto"/>
              <w:jc w:val="center"/>
              <w:rPr>
                <w:b/>
                <w:color w:val="000000"/>
                <w:szCs w:val="21"/>
              </w:rPr>
            </w:pPr>
            <w:r>
              <w:rPr>
                <w:b/>
                <w:color w:val="000000"/>
                <w:szCs w:val="21"/>
              </w:rPr>
              <w:t>8</w:t>
            </w:r>
          </w:p>
        </w:tc>
        <w:tc>
          <w:tcPr>
            <w:tcW w:w="852" w:type="dxa"/>
            <w:vAlign w:val="top"/>
          </w:tcPr>
          <w:p>
            <w:pPr>
              <w:spacing w:line="360" w:lineRule="auto"/>
              <w:jc w:val="center"/>
              <w:rPr>
                <w:b/>
                <w:color w:val="000000"/>
                <w:szCs w:val="21"/>
              </w:rPr>
            </w:pPr>
            <w:r>
              <w:rPr>
                <w:b/>
                <w:color w:val="000000"/>
                <w:szCs w:val="21"/>
              </w:rPr>
              <w:t>9</w:t>
            </w:r>
          </w:p>
        </w:tc>
        <w:tc>
          <w:tcPr>
            <w:tcW w:w="853" w:type="dxa"/>
            <w:vAlign w:val="top"/>
          </w:tcPr>
          <w:p>
            <w:pPr>
              <w:spacing w:line="360" w:lineRule="auto"/>
              <w:jc w:val="center"/>
              <w:rPr>
                <w:b/>
                <w:color w:val="000000"/>
                <w:szCs w:val="21"/>
              </w:rPr>
            </w:pPr>
            <w:r>
              <w:rPr>
                <w:b/>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spacing w:line="360" w:lineRule="auto"/>
              <w:jc w:val="center"/>
              <w:rPr>
                <w:color w:val="000000"/>
                <w:szCs w:val="21"/>
              </w:rPr>
            </w:pPr>
            <w:r>
              <w:rPr>
                <w:color w:val="000000"/>
                <w:szCs w:val="21"/>
              </w:rPr>
              <w:t>C</w:t>
            </w:r>
          </w:p>
        </w:tc>
        <w:tc>
          <w:tcPr>
            <w:tcW w:w="852" w:type="dxa"/>
            <w:vAlign w:val="top"/>
          </w:tcPr>
          <w:p>
            <w:pPr>
              <w:spacing w:line="360" w:lineRule="auto"/>
              <w:jc w:val="center"/>
              <w:rPr>
                <w:color w:val="000000"/>
                <w:szCs w:val="21"/>
              </w:rPr>
            </w:pPr>
            <w:r>
              <w:rPr>
                <w:color w:val="000000"/>
                <w:szCs w:val="21"/>
              </w:rPr>
              <w:t>A</w:t>
            </w:r>
          </w:p>
        </w:tc>
        <w:tc>
          <w:tcPr>
            <w:tcW w:w="853" w:type="dxa"/>
            <w:vAlign w:val="top"/>
          </w:tcPr>
          <w:p>
            <w:pPr>
              <w:spacing w:line="360" w:lineRule="auto"/>
              <w:jc w:val="center"/>
              <w:rPr>
                <w:color w:val="000000"/>
                <w:szCs w:val="21"/>
              </w:rPr>
            </w:pPr>
            <w:r>
              <w:rPr>
                <w:color w:val="000000"/>
                <w:szCs w:val="21"/>
              </w:rPr>
              <w:t>B</w:t>
            </w:r>
          </w:p>
        </w:tc>
        <w:tc>
          <w:tcPr>
            <w:tcW w:w="853" w:type="dxa"/>
            <w:vAlign w:val="top"/>
          </w:tcPr>
          <w:p>
            <w:pPr>
              <w:spacing w:line="360" w:lineRule="auto"/>
              <w:jc w:val="center"/>
              <w:rPr>
                <w:color w:val="000000"/>
                <w:szCs w:val="21"/>
              </w:rPr>
            </w:pPr>
            <w:r>
              <w:rPr>
                <w:color w:val="000000"/>
                <w:szCs w:val="21"/>
              </w:rPr>
              <w:t>C</w:t>
            </w:r>
          </w:p>
        </w:tc>
        <w:tc>
          <w:tcPr>
            <w:tcW w:w="852" w:type="dxa"/>
            <w:vAlign w:val="top"/>
          </w:tcPr>
          <w:p>
            <w:pPr>
              <w:spacing w:line="360" w:lineRule="auto"/>
              <w:jc w:val="center"/>
              <w:rPr>
                <w:color w:val="000000"/>
                <w:szCs w:val="21"/>
              </w:rPr>
            </w:pPr>
            <w:r>
              <w:rPr>
                <w:color w:val="000000"/>
                <w:szCs w:val="21"/>
              </w:rPr>
              <w:t>A</w:t>
            </w:r>
          </w:p>
        </w:tc>
        <w:tc>
          <w:tcPr>
            <w:tcW w:w="852" w:type="dxa"/>
            <w:vAlign w:val="top"/>
          </w:tcPr>
          <w:p>
            <w:pPr>
              <w:spacing w:line="360" w:lineRule="auto"/>
              <w:jc w:val="center"/>
              <w:rPr>
                <w:color w:val="000000"/>
                <w:szCs w:val="21"/>
              </w:rPr>
            </w:pPr>
            <w:r>
              <w:rPr>
                <w:color w:val="000000"/>
                <w:szCs w:val="21"/>
              </w:rPr>
              <w:t>C</w:t>
            </w:r>
          </w:p>
        </w:tc>
        <w:tc>
          <w:tcPr>
            <w:tcW w:w="852" w:type="dxa"/>
            <w:vAlign w:val="top"/>
          </w:tcPr>
          <w:p>
            <w:pPr>
              <w:spacing w:line="360" w:lineRule="auto"/>
              <w:jc w:val="center"/>
              <w:rPr>
                <w:color w:val="000000"/>
                <w:szCs w:val="21"/>
              </w:rPr>
            </w:pPr>
            <w:r>
              <w:rPr>
                <w:color w:val="000000"/>
                <w:szCs w:val="21"/>
              </w:rPr>
              <w:t>C</w:t>
            </w:r>
          </w:p>
        </w:tc>
        <w:tc>
          <w:tcPr>
            <w:tcW w:w="852" w:type="dxa"/>
            <w:vAlign w:val="top"/>
          </w:tcPr>
          <w:p>
            <w:pPr>
              <w:spacing w:line="360" w:lineRule="auto"/>
              <w:jc w:val="center"/>
              <w:rPr>
                <w:color w:val="000000"/>
                <w:szCs w:val="21"/>
              </w:rPr>
            </w:pPr>
            <w:r>
              <w:rPr>
                <w:color w:val="000000"/>
                <w:szCs w:val="21"/>
              </w:rPr>
              <w:t>D</w:t>
            </w:r>
          </w:p>
        </w:tc>
        <w:tc>
          <w:tcPr>
            <w:tcW w:w="852" w:type="dxa"/>
            <w:vAlign w:val="top"/>
          </w:tcPr>
          <w:p>
            <w:pPr>
              <w:spacing w:line="360" w:lineRule="auto"/>
              <w:jc w:val="center"/>
              <w:rPr>
                <w:color w:val="000000"/>
                <w:szCs w:val="21"/>
              </w:rPr>
            </w:pPr>
            <w:r>
              <w:rPr>
                <w:color w:val="000000"/>
                <w:szCs w:val="21"/>
              </w:rPr>
              <w:t>D</w:t>
            </w:r>
          </w:p>
        </w:tc>
        <w:tc>
          <w:tcPr>
            <w:tcW w:w="853" w:type="dxa"/>
            <w:vAlign w:val="top"/>
          </w:tcPr>
          <w:p>
            <w:pPr>
              <w:spacing w:line="360" w:lineRule="auto"/>
              <w:jc w:val="center"/>
              <w:rPr>
                <w:color w:val="000000"/>
                <w:szCs w:val="21"/>
              </w:rPr>
            </w:pPr>
            <w:r>
              <w:rPr>
                <w:color w:val="00000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spacing w:line="360" w:lineRule="auto"/>
              <w:jc w:val="center"/>
              <w:rPr>
                <w:b/>
                <w:color w:val="000000"/>
                <w:szCs w:val="21"/>
              </w:rPr>
            </w:pPr>
            <w:r>
              <w:rPr>
                <w:b/>
                <w:color w:val="000000"/>
                <w:szCs w:val="21"/>
              </w:rPr>
              <w:t>11</w:t>
            </w:r>
          </w:p>
        </w:tc>
        <w:tc>
          <w:tcPr>
            <w:tcW w:w="852" w:type="dxa"/>
            <w:vAlign w:val="top"/>
          </w:tcPr>
          <w:p>
            <w:pPr>
              <w:spacing w:line="360" w:lineRule="auto"/>
              <w:jc w:val="center"/>
              <w:rPr>
                <w:b/>
                <w:color w:val="000000"/>
                <w:szCs w:val="21"/>
              </w:rPr>
            </w:pPr>
            <w:r>
              <w:rPr>
                <w:b/>
                <w:color w:val="000000"/>
                <w:szCs w:val="21"/>
              </w:rPr>
              <w:t>12</w:t>
            </w:r>
          </w:p>
        </w:tc>
        <w:tc>
          <w:tcPr>
            <w:tcW w:w="853" w:type="dxa"/>
            <w:vAlign w:val="top"/>
          </w:tcPr>
          <w:p>
            <w:pPr>
              <w:spacing w:line="360" w:lineRule="auto"/>
              <w:jc w:val="center"/>
              <w:rPr>
                <w:b/>
                <w:color w:val="000000"/>
                <w:szCs w:val="21"/>
              </w:rPr>
            </w:pPr>
            <w:r>
              <w:rPr>
                <w:b/>
                <w:color w:val="000000"/>
                <w:szCs w:val="21"/>
              </w:rPr>
              <w:t>1</w:t>
            </w:r>
            <w:r>
              <w:rPr>
                <w:rFonts w:hint="eastAsia"/>
                <w:b/>
                <w:color w:val="000000"/>
                <w:szCs w:val="21"/>
              </w:rPr>
              <w:t>3</w:t>
            </w:r>
          </w:p>
        </w:tc>
        <w:tc>
          <w:tcPr>
            <w:tcW w:w="853" w:type="dxa"/>
            <w:vAlign w:val="top"/>
          </w:tcPr>
          <w:p>
            <w:pPr>
              <w:spacing w:line="360" w:lineRule="auto"/>
              <w:jc w:val="center"/>
              <w:rPr>
                <w:b/>
                <w:color w:val="000000"/>
                <w:szCs w:val="21"/>
              </w:rPr>
            </w:pPr>
            <w:r>
              <w:rPr>
                <w:rFonts w:hint="eastAsia"/>
                <w:b/>
                <w:color w:val="000000"/>
                <w:szCs w:val="21"/>
              </w:rPr>
              <w:t>14</w:t>
            </w:r>
          </w:p>
        </w:tc>
        <w:tc>
          <w:tcPr>
            <w:tcW w:w="852" w:type="dxa"/>
            <w:vAlign w:val="top"/>
          </w:tcPr>
          <w:p>
            <w:pPr>
              <w:spacing w:line="360" w:lineRule="auto"/>
              <w:jc w:val="center"/>
              <w:rPr>
                <w:b/>
                <w:color w:val="000000"/>
                <w:szCs w:val="21"/>
              </w:rPr>
            </w:pPr>
            <w:r>
              <w:rPr>
                <w:rFonts w:hint="eastAsia"/>
                <w:b/>
                <w:color w:val="000000"/>
                <w:szCs w:val="21"/>
              </w:rPr>
              <w:t>15</w:t>
            </w:r>
          </w:p>
        </w:tc>
        <w:tc>
          <w:tcPr>
            <w:tcW w:w="852" w:type="dxa"/>
            <w:vAlign w:val="top"/>
          </w:tcPr>
          <w:p>
            <w:pPr>
              <w:spacing w:line="360" w:lineRule="auto"/>
              <w:jc w:val="center"/>
              <w:rPr>
                <w:b/>
                <w:color w:val="000000"/>
                <w:szCs w:val="21"/>
              </w:rPr>
            </w:pPr>
            <w:r>
              <w:rPr>
                <w:rFonts w:hint="eastAsia"/>
                <w:b/>
                <w:color w:val="000000"/>
                <w:szCs w:val="21"/>
              </w:rPr>
              <w:t>16</w:t>
            </w:r>
          </w:p>
        </w:tc>
        <w:tc>
          <w:tcPr>
            <w:tcW w:w="852" w:type="dxa"/>
            <w:vAlign w:val="top"/>
          </w:tcPr>
          <w:p>
            <w:pPr>
              <w:spacing w:line="360" w:lineRule="auto"/>
              <w:jc w:val="center"/>
              <w:rPr>
                <w:b/>
                <w:color w:val="000000"/>
                <w:szCs w:val="21"/>
              </w:rPr>
            </w:pPr>
            <w:r>
              <w:rPr>
                <w:rFonts w:hint="eastAsia"/>
                <w:b/>
                <w:color w:val="000000"/>
                <w:szCs w:val="21"/>
              </w:rPr>
              <w:t>17</w:t>
            </w:r>
          </w:p>
        </w:tc>
        <w:tc>
          <w:tcPr>
            <w:tcW w:w="852" w:type="dxa"/>
            <w:vAlign w:val="top"/>
          </w:tcPr>
          <w:p>
            <w:pPr>
              <w:spacing w:line="360" w:lineRule="auto"/>
              <w:jc w:val="center"/>
              <w:rPr>
                <w:b/>
                <w:color w:val="000000"/>
                <w:szCs w:val="21"/>
              </w:rPr>
            </w:pPr>
            <w:r>
              <w:rPr>
                <w:rFonts w:hint="eastAsia"/>
                <w:b/>
                <w:color w:val="000000"/>
                <w:szCs w:val="21"/>
              </w:rPr>
              <w:t>18</w:t>
            </w:r>
          </w:p>
        </w:tc>
        <w:tc>
          <w:tcPr>
            <w:tcW w:w="852" w:type="dxa"/>
            <w:vAlign w:val="top"/>
          </w:tcPr>
          <w:p>
            <w:pPr>
              <w:spacing w:line="360" w:lineRule="auto"/>
              <w:jc w:val="center"/>
              <w:rPr>
                <w:b/>
                <w:color w:val="000000"/>
                <w:szCs w:val="21"/>
              </w:rPr>
            </w:pPr>
            <w:r>
              <w:rPr>
                <w:rFonts w:hint="eastAsia"/>
                <w:b/>
                <w:color w:val="000000"/>
                <w:szCs w:val="21"/>
              </w:rPr>
              <w:t>19</w:t>
            </w:r>
          </w:p>
        </w:tc>
        <w:tc>
          <w:tcPr>
            <w:tcW w:w="853" w:type="dxa"/>
            <w:vAlign w:val="top"/>
          </w:tcPr>
          <w:p>
            <w:pPr>
              <w:spacing w:line="360" w:lineRule="auto"/>
              <w:jc w:val="center"/>
              <w:rPr>
                <w:b/>
                <w:color w:val="000000"/>
                <w:szCs w:val="21"/>
              </w:rPr>
            </w:pPr>
            <w:r>
              <w:rPr>
                <w:rFonts w:hint="eastAsia"/>
                <w:b/>
                <w:color w:val="00000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spacing w:line="360" w:lineRule="auto"/>
              <w:jc w:val="center"/>
              <w:rPr>
                <w:color w:val="000000"/>
                <w:szCs w:val="21"/>
              </w:rPr>
            </w:pPr>
            <w:r>
              <w:rPr>
                <w:color w:val="000000"/>
                <w:szCs w:val="21"/>
              </w:rPr>
              <w:t>A</w:t>
            </w:r>
          </w:p>
        </w:tc>
        <w:tc>
          <w:tcPr>
            <w:tcW w:w="852" w:type="dxa"/>
            <w:vAlign w:val="top"/>
          </w:tcPr>
          <w:p>
            <w:pPr>
              <w:spacing w:line="360" w:lineRule="auto"/>
              <w:jc w:val="center"/>
              <w:rPr>
                <w:color w:val="000000"/>
                <w:szCs w:val="21"/>
              </w:rPr>
            </w:pPr>
            <w:r>
              <w:rPr>
                <w:color w:val="000000"/>
                <w:szCs w:val="21"/>
              </w:rPr>
              <w:t>A</w:t>
            </w:r>
          </w:p>
        </w:tc>
        <w:tc>
          <w:tcPr>
            <w:tcW w:w="853" w:type="dxa"/>
            <w:vAlign w:val="top"/>
          </w:tcPr>
          <w:p>
            <w:pPr>
              <w:spacing w:line="360" w:lineRule="auto"/>
              <w:jc w:val="center"/>
              <w:rPr>
                <w:color w:val="000000"/>
                <w:szCs w:val="21"/>
              </w:rPr>
            </w:pPr>
            <w:r>
              <w:rPr>
                <w:color w:val="000000"/>
                <w:szCs w:val="21"/>
              </w:rPr>
              <w:t>C</w:t>
            </w:r>
          </w:p>
        </w:tc>
        <w:tc>
          <w:tcPr>
            <w:tcW w:w="853" w:type="dxa"/>
            <w:vAlign w:val="top"/>
          </w:tcPr>
          <w:p>
            <w:pPr>
              <w:spacing w:line="360" w:lineRule="auto"/>
              <w:jc w:val="center"/>
              <w:rPr>
                <w:color w:val="000000"/>
                <w:szCs w:val="21"/>
              </w:rPr>
            </w:pPr>
            <w:r>
              <w:rPr>
                <w:color w:val="000000"/>
                <w:szCs w:val="21"/>
              </w:rPr>
              <w:t>A</w:t>
            </w:r>
          </w:p>
        </w:tc>
        <w:tc>
          <w:tcPr>
            <w:tcW w:w="852" w:type="dxa"/>
            <w:vAlign w:val="top"/>
          </w:tcPr>
          <w:p>
            <w:pPr>
              <w:spacing w:line="360" w:lineRule="auto"/>
              <w:jc w:val="center"/>
              <w:rPr>
                <w:color w:val="000000"/>
                <w:szCs w:val="21"/>
              </w:rPr>
            </w:pPr>
            <w:r>
              <w:rPr>
                <w:color w:val="000000"/>
                <w:szCs w:val="21"/>
              </w:rPr>
              <w:t>B</w:t>
            </w:r>
          </w:p>
        </w:tc>
        <w:tc>
          <w:tcPr>
            <w:tcW w:w="852" w:type="dxa"/>
            <w:vAlign w:val="top"/>
          </w:tcPr>
          <w:p>
            <w:pPr>
              <w:spacing w:line="360" w:lineRule="auto"/>
              <w:jc w:val="center"/>
              <w:rPr>
                <w:color w:val="000000"/>
                <w:szCs w:val="21"/>
              </w:rPr>
            </w:pPr>
            <w:r>
              <w:rPr>
                <w:color w:val="000000"/>
                <w:szCs w:val="21"/>
              </w:rPr>
              <w:t>A</w:t>
            </w:r>
          </w:p>
        </w:tc>
        <w:tc>
          <w:tcPr>
            <w:tcW w:w="852" w:type="dxa"/>
            <w:vAlign w:val="top"/>
          </w:tcPr>
          <w:p>
            <w:pPr>
              <w:spacing w:line="360" w:lineRule="auto"/>
              <w:jc w:val="center"/>
              <w:rPr>
                <w:color w:val="000000"/>
                <w:szCs w:val="21"/>
              </w:rPr>
            </w:pPr>
            <w:r>
              <w:rPr>
                <w:color w:val="000000"/>
                <w:szCs w:val="21"/>
              </w:rPr>
              <w:t>C</w:t>
            </w:r>
          </w:p>
        </w:tc>
        <w:tc>
          <w:tcPr>
            <w:tcW w:w="852" w:type="dxa"/>
            <w:vAlign w:val="top"/>
          </w:tcPr>
          <w:p>
            <w:pPr>
              <w:spacing w:line="360" w:lineRule="auto"/>
              <w:jc w:val="center"/>
              <w:rPr>
                <w:color w:val="000000"/>
                <w:szCs w:val="21"/>
              </w:rPr>
            </w:pPr>
            <w:r>
              <w:rPr>
                <w:color w:val="000000"/>
                <w:szCs w:val="21"/>
              </w:rPr>
              <w:t>D</w:t>
            </w:r>
          </w:p>
        </w:tc>
        <w:tc>
          <w:tcPr>
            <w:tcW w:w="852" w:type="dxa"/>
            <w:vAlign w:val="top"/>
          </w:tcPr>
          <w:p>
            <w:pPr>
              <w:spacing w:line="360" w:lineRule="auto"/>
              <w:jc w:val="center"/>
              <w:rPr>
                <w:color w:val="000000"/>
                <w:szCs w:val="21"/>
              </w:rPr>
            </w:pPr>
            <w:r>
              <w:rPr>
                <w:color w:val="000000"/>
                <w:szCs w:val="21"/>
              </w:rPr>
              <w:t>A</w:t>
            </w:r>
          </w:p>
        </w:tc>
        <w:tc>
          <w:tcPr>
            <w:tcW w:w="853" w:type="dxa"/>
            <w:vAlign w:val="top"/>
          </w:tcPr>
          <w:p>
            <w:pPr>
              <w:spacing w:line="360" w:lineRule="auto"/>
              <w:jc w:val="center"/>
              <w:rPr>
                <w:color w:val="000000"/>
                <w:szCs w:val="21"/>
              </w:rPr>
            </w:pPr>
            <w:r>
              <w:rPr>
                <w:color w:val="000000"/>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5"/>
          <w:wAfter w:w="4261" w:type="dxa"/>
        </w:trPr>
        <w:tc>
          <w:tcPr>
            <w:tcW w:w="852" w:type="dxa"/>
            <w:vAlign w:val="top"/>
          </w:tcPr>
          <w:p>
            <w:pPr>
              <w:spacing w:line="360" w:lineRule="auto"/>
              <w:jc w:val="center"/>
              <w:rPr>
                <w:b/>
                <w:color w:val="000000"/>
                <w:szCs w:val="21"/>
              </w:rPr>
            </w:pPr>
            <w:r>
              <w:rPr>
                <w:rFonts w:hint="eastAsia"/>
                <w:b/>
                <w:color w:val="000000"/>
                <w:szCs w:val="21"/>
              </w:rPr>
              <w:t>21</w:t>
            </w:r>
          </w:p>
        </w:tc>
        <w:tc>
          <w:tcPr>
            <w:tcW w:w="852" w:type="dxa"/>
            <w:vAlign w:val="top"/>
          </w:tcPr>
          <w:p>
            <w:pPr>
              <w:spacing w:line="360" w:lineRule="auto"/>
              <w:jc w:val="center"/>
              <w:rPr>
                <w:b/>
                <w:color w:val="000000"/>
                <w:szCs w:val="21"/>
              </w:rPr>
            </w:pPr>
            <w:r>
              <w:rPr>
                <w:rFonts w:hint="eastAsia"/>
                <w:b/>
                <w:color w:val="000000"/>
                <w:szCs w:val="21"/>
              </w:rPr>
              <w:t>22</w:t>
            </w:r>
          </w:p>
        </w:tc>
        <w:tc>
          <w:tcPr>
            <w:tcW w:w="853" w:type="dxa"/>
            <w:vAlign w:val="top"/>
          </w:tcPr>
          <w:p>
            <w:pPr>
              <w:spacing w:line="360" w:lineRule="auto"/>
              <w:jc w:val="center"/>
              <w:rPr>
                <w:b/>
                <w:color w:val="000000"/>
                <w:szCs w:val="21"/>
              </w:rPr>
            </w:pPr>
            <w:r>
              <w:rPr>
                <w:rFonts w:hint="eastAsia"/>
                <w:b/>
                <w:color w:val="000000"/>
                <w:szCs w:val="21"/>
              </w:rPr>
              <w:t>23</w:t>
            </w:r>
          </w:p>
        </w:tc>
        <w:tc>
          <w:tcPr>
            <w:tcW w:w="853" w:type="dxa"/>
            <w:vAlign w:val="top"/>
          </w:tcPr>
          <w:p>
            <w:pPr>
              <w:spacing w:line="360" w:lineRule="auto"/>
              <w:jc w:val="center"/>
              <w:rPr>
                <w:b/>
                <w:color w:val="000000"/>
                <w:szCs w:val="21"/>
              </w:rPr>
            </w:pPr>
            <w:r>
              <w:rPr>
                <w:rFonts w:hint="eastAsia"/>
                <w:b/>
                <w:color w:val="000000"/>
                <w:szCs w:val="21"/>
              </w:rPr>
              <w:t>24</w:t>
            </w:r>
          </w:p>
        </w:tc>
        <w:tc>
          <w:tcPr>
            <w:tcW w:w="852" w:type="dxa"/>
            <w:vAlign w:val="top"/>
          </w:tcPr>
          <w:p>
            <w:pPr>
              <w:spacing w:line="360" w:lineRule="auto"/>
              <w:jc w:val="center"/>
              <w:rPr>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5"/>
          <w:wAfter w:w="4261" w:type="dxa"/>
        </w:trPr>
        <w:tc>
          <w:tcPr>
            <w:tcW w:w="852" w:type="dxa"/>
            <w:vAlign w:val="top"/>
          </w:tcPr>
          <w:p>
            <w:pPr>
              <w:spacing w:line="360" w:lineRule="auto"/>
              <w:jc w:val="center"/>
              <w:rPr>
                <w:color w:val="000000"/>
                <w:szCs w:val="21"/>
              </w:rPr>
            </w:pPr>
            <w:r>
              <w:rPr>
                <w:color w:val="000000"/>
                <w:szCs w:val="21"/>
              </w:rPr>
              <w:t>C</w:t>
            </w:r>
          </w:p>
        </w:tc>
        <w:tc>
          <w:tcPr>
            <w:tcW w:w="852" w:type="dxa"/>
            <w:vAlign w:val="top"/>
          </w:tcPr>
          <w:p>
            <w:pPr>
              <w:spacing w:line="360" w:lineRule="auto"/>
              <w:jc w:val="center"/>
              <w:rPr>
                <w:color w:val="000000"/>
                <w:szCs w:val="21"/>
              </w:rPr>
            </w:pPr>
            <w:r>
              <w:rPr>
                <w:color w:val="000000"/>
                <w:szCs w:val="21"/>
              </w:rPr>
              <w:t>D</w:t>
            </w:r>
          </w:p>
        </w:tc>
        <w:tc>
          <w:tcPr>
            <w:tcW w:w="853" w:type="dxa"/>
            <w:vAlign w:val="top"/>
          </w:tcPr>
          <w:p>
            <w:pPr>
              <w:spacing w:line="360" w:lineRule="auto"/>
              <w:jc w:val="center"/>
              <w:rPr>
                <w:color w:val="000000"/>
                <w:szCs w:val="21"/>
              </w:rPr>
            </w:pPr>
            <w:r>
              <w:rPr>
                <w:color w:val="000000"/>
                <w:szCs w:val="21"/>
              </w:rPr>
              <w:t>D</w:t>
            </w:r>
          </w:p>
        </w:tc>
        <w:tc>
          <w:tcPr>
            <w:tcW w:w="853" w:type="dxa"/>
            <w:vAlign w:val="top"/>
          </w:tcPr>
          <w:p>
            <w:pPr>
              <w:spacing w:line="360" w:lineRule="auto"/>
              <w:jc w:val="center"/>
              <w:rPr>
                <w:color w:val="000000"/>
                <w:szCs w:val="21"/>
              </w:rPr>
            </w:pPr>
            <w:r>
              <w:rPr>
                <w:color w:val="000000"/>
                <w:szCs w:val="21"/>
              </w:rPr>
              <w:t>B</w:t>
            </w:r>
          </w:p>
        </w:tc>
        <w:tc>
          <w:tcPr>
            <w:tcW w:w="852" w:type="dxa"/>
            <w:vAlign w:val="top"/>
          </w:tcPr>
          <w:p>
            <w:pPr>
              <w:spacing w:line="360" w:lineRule="auto"/>
              <w:jc w:val="center"/>
              <w:rPr>
                <w:color w:val="000000"/>
                <w:szCs w:val="21"/>
              </w:rPr>
            </w:pPr>
          </w:p>
        </w:tc>
      </w:tr>
    </w:tbl>
    <w:p>
      <w:pPr>
        <w:spacing w:line="360" w:lineRule="auto"/>
        <w:jc w:val="left"/>
        <w:rPr>
          <w:b/>
          <w:color w:val="000000"/>
          <w:szCs w:val="21"/>
        </w:rPr>
      </w:pPr>
    </w:p>
    <w:p>
      <w:pPr>
        <w:spacing w:line="360" w:lineRule="auto"/>
        <w:jc w:val="left"/>
        <w:rPr>
          <w:b/>
          <w:color w:val="000000"/>
          <w:szCs w:val="21"/>
        </w:rPr>
      </w:pPr>
      <w:r>
        <w:rPr>
          <w:rFonts w:hAnsi="宋体"/>
          <w:b/>
          <w:color w:val="000000"/>
          <w:szCs w:val="21"/>
        </w:rPr>
        <w:t>二</w:t>
      </w:r>
      <w:r>
        <w:rPr>
          <w:rFonts w:hint="eastAsia" w:hAnsi="宋体"/>
          <w:b/>
          <w:color w:val="000000"/>
          <w:szCs w:val="21"/>
        </w:rPr>
        <w:t>、</w:t>
      </w:r>
      <w:r>
        <w:rPr>
          <w:rFonts w:hAnsi="宋体"/>
          <w:b/>
          <w:color w:val="000000"/>
          <w:szCs w:val="21"/>
        </w:rPr>
        <w:t>多项选择题</w:t>
      </w:r>
    </w:p>
    <w:tbl>
      <w:tblPr>
        <w:tblStyle w:val="9"/>
        <w:tblW w:w="85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3"/>
        <w:gridCol w:w="853"/>
        <w:gridCol w:w="853"/>
        <w:gridCol w:w="853"/>
        <w:gridCol w:w="853"/>
        <w:gridCol w:w="853"/>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spacing w:line="360" w:lineRule="auto"/>
              <w:jc w:val="center"/>
              <w:rPr>
                <w:b/>
                <w:color w:val="000000"/>
                <w:szCs w:val="21"/>
              </w:rPr>
            </w:pPr>
            <w:r>
              <w:rPr>
                <w:b/>
                <w:color w:val="000000"/>
                <w:szCs w:val="21"/>
              </w:rPr>
              <w:t>1</w:t>
            </w:r>
          </w:p>
        </w:tc>
        <w:tc>
          <w:tcPr>
            <w:tcW w:w="852" w:type="dxa"/>
            <w:vAlign w:val="top"/>
          </w:tcPr>
          <w:p>
            <w:pPr>
              <w:spacing w:line="360" w:lineRule="auto"/>
              <w:jc w:val="center"/>
              <w:rPr>
                <w:b/>
                <w:color w:val="000000"/>
                <w:szCs w:val="21"/>
              </w:rPr>
            </w:pPr>
            <w:r>
              <w:rPr>
                <w:b/>
                <w:color w:val="000000"/>
                <w:szCs w:val="21"/>
              </w:rPr>
              <w:t>2</w:t>
            </w:r>
          </w:p>
        </w:tc>
        <w:tc>
          <w:tcPr>
            <w:tcW w:w="853" w:type="dxa"/>
            <w:vAlign w:val="top"/>
          </w:tcPr>
          <w:p>
            <w:pPr>
              <w:spacing w:line="360" w:lineRule="auto"/>
              <w:jc w:val="center"/>
              <w:rPr>
                <w:b/>
                <w:color w:val="000000"/>
                <w:szCs w:val="21"/>
              </w:rPr>
            </w:pPr>
            <w:r>
              <w:rPr>
                <w:b/>
                <w:color w:val="000000"/>
                <w:szCs w:val="21"/>
              </w:rPr>
              <w:t>3</w:t>
            </w:r>
          </w:p>
        </w:tc>
        <w:tc>
          <w:tcPr>
            <w:tcW w:w="853" w:type="dxa"/>
            <w:vAlign w:val="top"/>
          </w:tcPr>
          <w:p>
            <w:pPr>
              <w:spacing w:line="360" w:lineRule="auto"/>
              <w:jc w:val="center"/>
              <w:rPr>
                <w:b/>
                <w:color w:val="000000"/>
                <w:szCs w:val="21"/>
              </w:rPr>
            </w:pPr>
            <w:r>
              <w:rPr>
                <w:b/>
                <w:color w:val="000000"/>
                <w:szCs w:val="21"/>
              </w:rPr>
              <w:t>4</w:t>
            </w:r>
          </w:p>
        </w:tc>
        <w:tc>
          <w:tcPr>
            <w:tcW w:w="853" w:type="dxa"/>
            <w:vAlign w:val="top"/>
          </w:tcPr>
          <w:p>
            <w:pPr>
              <w:spacing w:line="360" w:lineRule="auto"/>
              <w:jc w:val="center"/>
              <w:rPr>
                <w:b/>
                <w:color w:val="000000"/>
                <w:szCs w:val="21"/>
              </w:rPr>
            </w:pPr>
            <w:r>
              <w:rPr>
                <w:b/>
                <w:color w:val="000000"/>
                <w:szCs w:val="21"/>
              </w:rPr>
              <w:t>5</w:t>
            </w:r>
          </w:p>
        </w:tc>
        <w:tc>
          <w:tcPr>
            <w:tcW w:w="853" w:type="dxa"/>
            <w:vAlign w:val="top"/>
          </w:tcPr>
          <w:p>
            <w:pPr>
              <w:spacing w:line="360" w:lineRule="auto"/>
              <w:jc w:val="center"/>
              <w:rPr>
                <w:b/>
                <w:color w:val="000000"/>
                <w:szCs w:val="21"/>
              </w:rPr>
            </w:pPr>
            <w:r>
              <w:rPr>
                <w:b/>
                <w:color w:val="000000"/>
                <w:szCs w:val="21"/>
              </w:rPr>
              <w:t>6</w:t>
            </w:r>
          </w:p>
        </w:tc>
        <w:tc>
          <w:tcPr>
            <w:tcW w:w="853" w:type="dxa"/>
            <w:vAlign w:val="top"/>
          </w:tcPr>
          <w:p>
            <w:pPr>
              <w:spacing w:line="360" w:lineRule="auto"/>
              <w:jc w:val="center"/>
              <w:rPr>
                <w:b/>
                <w:color w:val="000000"/>
                <w:szCs w:val="21"/>
              </w:rPr>
            </w:pPr>
            <w:r>
              <w:rPr>
                <w:b/>
                <w:color w:val="000000"/>
                <w:szCs w:val="21"/>
              </w:rPr>
              <w:t>7</w:t>
            </w:r>
          </w:p>
        </w:tc>
        <w:tc>
          <w:tcPr>
            <w:tcW w:w="853" w:type="dxa"/>
            <w:vAlign w:val="top"/>
          </w:tcPr>
          <w:p>
            <w:pPr>
              <w:spacing w:line="360" w:lineRule="auto"/>
              <w:jc w:val="center"/>
              <w:rPr>
                <w:b/>
                <w:color w:val="000000"/>
                <w:szCs w:val="21"/>
              </w:rPr>
            </w:pPr>
            <w:r>
              <w:rPr>
                <w:b/>
                <w:color w:val="000000"/>
                <w:szCs w:val="21"/>
              </w:rPr>
              <w:t>8</w:t>
            </w:r>
          </w:p>
        </w:tc>
        <w:tc>
          <w:tcPr>
            <w:tcW w:w="853" w:type="dxa"/>
            <w:vAlign w:val="top"/>
          </w:tcPr>
          <w:p>
            <w:pPr>
              <w:spacing w:line="360" w:lineRule="auto"/>
              <w:jc w:val="center"/>
              <w:rPr>
                <w:color w:val="000000"/>
                <w:szCs w:val="21"/>
              </w:rPr>
            </w:pPr>
            <w:r>
              <w:rPr>
                <w:rFonts w:hint="eastAsia"/>
                <w:color w:val="000000"/>
                <w:szCs w:val="21"/>
              </w:rPr>
              <w:t>9</w:t>
            </w:r>
          </w:p>
        </w:tc>
        <w:tc>
          <w:tcPr>
            <w:tcW w:w="853" w:type="dxa"/>
            <w:vAlign w:val="top"/>
          </w:tcPr>
          <w:p>
            <w:pPr>
              <w:spacing w:line="360" w:lineRule="auto"/>
              <w:jc w:val="center"/>
              <w:rPr>
                <w:color w:val="000000"/>
                <w:szCs w:val="21"/>
              </w:rPr>
            </w:pPr>
            <w:r>
              <w:rPr>
                <w:rFonts w:hint="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spacing w:line="360" w:lineRule="auto"/>
              <w:jc w:val="center"/>
              <w:rPr>
                <w:b/>
                <w:color w:val="000000"/>
                <w:szCs w:val="21"/>
              </w:rPr>
            </w:pPr>
            <w:r>
              <w:rPr>
                <w:color w:val="000000"/>
                <w:szCs w:val="21"/>
              </w:rPr>
              <w:t> BCD</w:t>
            </w:r>
          </w:p>
        </w:tc>
        <w:tc>
          <w:tcPr>
            <w:tcW w:w="852" w:type="dxa"/>
            <w:vAlign w:val="top"/>
          </w:tcPr>
          <w:p>
            <w:pPr>
              <w:spacing w:line="360" w:lineRule="auto"/>
              <w:jc w:val="center"/>
              <w:rPr>
                <w:b/>
                <w:color w:val="000000"/>
                <w:szCs w:val="21"/>
              </w:rPr>
            </w:pPr>
            <w:r>
              <w:rPr>
                <w:color w:val="000000"/>
                <w:szCs w:val="21"/>
              </w:rPr>
              <w:t> ABCD</w:t>
            </w:r>
          </w:p>
        </w:tc>
        <w:tc>
          <w:tcPr>
            <w:tcW w:w="853" w:type="dxa"/>
            <w:vAlign w:val="top"/>
          </w:tcPr>
          <w:p>
            <w:pPr>
              <w:spacing w:line="360" w:lineRule="auto"/>
              <w:jc w:val="center"/>
              <w:rPr>
                <w:b/>
                <w:color w:val="000000"/>
                <w:szCs w:val="21"/>
              </w:rPr>
            </w:pPr>
            <w:r>
              <w:rPr>
                <w:color w:val="000000"/>
                <w:szCs w:val="21"/>
              </w:rPr>
              <w:t>ABC</w:t>
            </w:r>
          </w:p>
        </w:tc>
        <w:tc>
          <w:tcPr>
            <w:tcW w:w="853" w:type="dxa"/>
            <w:vAlign w:val="top"/>
          </w:tcPr>
          <w:p>
            <w:pPr>
              <w:spacing w:line="360" w:lineRule="auto"/>
              <w:jc w:val="center"/>
              <w:rPr>
                <w:b/>
                <w:color w:val="000000"/>
                <w:szCs w:val="21"/>
              </w:rPr>
            </w:pPr>
            <w:r>
              <w:rPr>
                <w:color w:val="000000"/>
                <w:szCs w:val="21"/>
              </w:rPr>
              <w:t> ABCD</w:t>
            </w:r>
          </w:p>
        </w:tc>
        <w:tc>
          <w:tcPr>
            <w:tcW w:w="853" w:type="dxa"/>
            <w:vAlign w:val="top"/>
          </w:tcPr>
          <w:p>
            <w:pPr>
              <w:spacing w:line="360" w:lineRule="auto"/>
              <w:jc w:val="center"/>
              <w:rPr>
                <w:b/>
                <w:color w:val="000000"/>
                <w:szCs w:val="21"/>
              </w:rPr>
            </w:pPr>
            <w:r>
              <w:rPr>
                <w:color w:val="000000"/>
                <w:szCs w:val="21"/>
              </w:rPr>
              <w:t> ABCD</w:t>
            </w:r>
          </w:p>
        </w:tc>
        <w:tc>
          <w:tcPr>
            <w:tcW w:w="853" w:type="dxa"/>
            <w:vAlign w:val="top"/>
          </w:tcPr>
          <w:p>
            <w:pPr>
              <w:spacing w:line="360" w:lineRule="auto"/>
              <w:jc w:val="center"/>
              <w:rPr>
                <w:b/>
                <w:color w:val="000000"/>
                <w:szCs w:val="21"/>
              </w:rPr>
            </w:pPr>
            <w:r>
              <w:rPr>
                <w:color w:val="000000"/>
                <w:szCs w:val="21"/>
              </w:rPr>
              <w:t>ACD</w:t>
            </w:r>
          </w:p>
        </w:tc>
        <w:tc>
          <w:tcPr>
            <w:tcW w:w="853" w:type="dxa"/>
            <w:vAlign w:val="top"/>
          </w:tcPr>
          <w:p>
            <w:pPr>
              <w:spacing w:line="360" w:lineRule="auto"/>
              <w:jc w:val="center"/>
              <w:rPr>
                <w:b/>
                <w:color w:val="000000"/>
                <w:szCs w:val="21"/>
              </w:rPr>
            </w:pPr>
            <w:r>
              <w:rPr>
                <w:color w:val="000000"/>
                <w:szCs w:val="21"/>
              </w:rPr>
              <w:t>BCD</w:t>
            </w:r>
          </w:p>
        </w:tc>
        <w:tc>
          <w:tcPr>
            <w:tcW w:w="853" w:type="dxa"/>
            <w:vAlign w:val="top"/>
          </w:tcPr>
          <w:p>
            <w:pPr>
              <w:spacing w:line="360" w:lineRule="auto"/>
              <w:jc w:val="center"/>
              <w:rPr>
                <w:b/>
                <w:color w:val="000000"/>
                <w:szCs w:val="21"/>
              </w:rPr>
            </w:pPr>
            <w:r>
              <w:rPr>
                <w:color w:val="000000"/>
                <w:szCs w:val="21"/>
              </w:rPr>
              <w:t>AB</w:t>
            </w:r>
          </w:p>
        </w:tc>
        <w:tc>
          <w:tcPr>
            <w:tcW w:w="853" w:type="dxa"/>
            <w:vAlign w:val="top"/>
          </w:tcPr>
          <w:p>
            <w:pPr>
              <w:spacing w:line="360" w:lineRule="auto"/>
              <w:jc w:val="center"/>
              <w:rPr>
                <w:color w:val="000000"/>
                <w:szCs w:val="21"/>
              </w:rPr>
            </w:pPr>
            <w:r>
              <w:rPr>
                <w:color w:val="000000"/>
                <w:szCs w:val="21"/>
              </w:rPr>
              <w:t>ABCD</w:t>
            </w:r>
          </w:p>
        </w:tc>
        <w:tc>
          <w:tcPr>
            <w:tcW w:w="853" w:type="dxa"/>
            <w:vAlign w:val="top"/>
          </w:tcPr>
          <w:p>
            <w:pPr>
              <w:spacing w:line="360" w:lineRule="auto"/>
              <w:jc w:val="center"/>
              <w:rPr>
                <w:color w:val="000000"/>
                <w:szCs w:val="21"/>
              </w:rPr>
            </w:pPr>
            <w:r>
              <w:rPr>
                <w:color w:val="000000"/>
                <w:szCs w:val="21"/>
              </w:rPr>
              <w:t>AC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Cs w:val="21"/>
              </w:rPr>
            </w:pPr>
            <w:r>
              <w:rPr>
                <w:rFonts w:hint="eastAsia"/>
                <w:color w:val="000000"/>
                <w:szCs w:val="21"/>
              </w:rPr>
              <w:t>11</w:t>
            </w: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Cs w:val="21"/>
              </w:rPr>
            </w:pPr>
            <w:r>
              <w:rPr>
                <w:rFonts w:hint="eastAsia"/>
                <w:color w:val="000000"/>
                <w:szCs w:val="21"/>
              </w:rPr>
              <w:t>12</w:t>
            </w:r>
          </w:p>
        </w:tc>
        <w:tc>
          <w:tcPr>
            <w:tcW w:w="85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Cs w:val="21"/>
              </w:rPr>
            </w:pPr>
            <w:r>
              <w:rPr>
                <w:rFonts w:hint="eastAsia"/>
                <w:color w:val="000000"/>
                <w:szCs w:val="21"/>
              </w:rPr>
              <w:t>13</w:t>
            </w:r>
          </w:p>
        </w:tc>
        <w:tc>
          <w:tcPr>
            <w:tcW w:w="85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Cs w:val="21"/>
              </w:rPr>
            </w:pPr>
            <w:r>
              <w:rPr>
                <w:rFonts w:hint="eastAsia"/>
                <w:color w:val="000000"/>
                <w:szCs w:val="21"/>
              </w:rPr>
              <w:t>14</w:t>
            </w:r>
          </w:p>
        </w:tc>
        <w:tc>
          <w:tcPr>
            <w:tcW w:w="85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Cs w:val="21"/>
              </w:rPr>
            </w:pPr>
            <w:r>
              <w:rPr>
                <w:rFonts w:hint="eastAsia"/>
                <w:color w:val="000000"/>
                <w:szCs w:val="21"/>
              </w:rPr>
              <w:t>15</w:t>
            </w:r>
          </w:p>
        </w:tc>
        <w:tc>
          <w:tcPr>
            <w:tcW w:w="85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Cs w:val="21"/>
              </w:rPr>
            </w:pPr>
            <w:r>
              <w:rPr>
                <w:rFonts w:hint="eastAsia"/>
                <w:color w:val="000000"/>
                <w:szCs w:val="21"/>
              </w:rPr>
              <w:t>16</w:t>
            </w:r>
          </w:p>
        </w:tc>
        <w:tc>
          <w:tcPr>
            <w:tcW w:w="85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Cs w:val="21"/>
              </w:rPr>
            </w:pPr>
          </w:p>
        </w:tc>
        <w:tc>
          <w:tcPr>
            <w:tcW w:w="85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Cs w:val="21"/>
              </w:rPr>
            </w:pPr>
          </w:p>
        </w:tc>
        <w:tc>
          <w:tcPr>
            <w:tcW w:w="85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b/>
                <w:color w:val="000000"/>
                <w:szCs w:val="21"/>
              </w:rPr>
            </w:pPr>
          </w:p>
        </w:tc>
        <w:tc>
          <w:tcPr>
            <w:tcW w:w="85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Cs w:val="21"/>
              </w:rPr>
            </w:pPr>
            <w:r>
              <w:rPr>
                <w:color w:val="000000"/>
                <w:szCs w:val="21"/>
              </w:rPr>
              <w:t>ACD</w:t>
            </w: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Cs w:val="21"/>
              </w:rPr>
            </w:pPr>
            <w:r>
              <w:rPr>
                <w:color w:val="000000"/>
                <w:szCs w:val="21"/>
              </w:rPr>
              <w:t>ABD </w:t>
            </w:r>
          </w:p>
        </w:tc>
        <w:tc>
          <w:tcPr>
            <w:tcW w:w="85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Cs w:val="21"/>
              </w:rPr>
            </w:pPr>
            <w:r>
              <w:rPr>
                <w:color w:val="000000"/>
                <w:szCs w:val="21"/>
              </w:rPr>
              <w:t>ABD </w:t>
            </w:r>
          </w:p>
        </w:tc>
        <w:tc>
          <w:tcPr>
            <w:tcW w:w="85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Cs w:val="21"/>
              </w:rPr>
            </w:pPr>
            <w:r>
              <w:rPr>
                <w:color w:val="000000"/>
                <w:szCs w:val="21"/>
              </w:rPr>
              <w:t>ABC</w:t>
            </w:r>
          </w:p>
        </w:tc>
        <w:tc>
          <w:tcPr>
            <w:tcW w:w="85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Cs w:val="21"/>
              </w:rPr>
            </w:pPr>
            <w:r>
              <w:rPr>
                <w:color w:val="000000"/>
                <w:szCs w:val="21"/>
              </w:rPr>
              <w:t>ABD</w:t>
            </w:r>
          </w:p>
        </w:tc>
        <w:tc>
          <w:tcPr>
            <w:tcW w:w="85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Cs w:val="21"/>
              </w:rPr>
            </w:pPr>
            <w:r>
              <w:rPr>
                <w:color w:val="000000"/>
                <w:szCs w:val="21"/>
              </w:rPr>
              <w:t>ABC</w:t>
            </w:r>
          </w:p>
        </w:tc>
        <w:tc>
          <w:tcPr>
            <w:tcW w:w="85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Cs w:val="21"/>
              </w:rPr>
            </w:pPr>
          </w:p>
        </w:tc>
        <w:tc>
          <w:tcPr>
            <w:tcW w:w="85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Cs w:val="21"/>
              </w:rPr>
            </w:pPr>
          </w:p>
        </w:tc>
        <w:tc>
          <w:tcPr>
            <w:tcW w:w="85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b/>
                <w:color w:val="000000"/>
                <w:szCs w:val="21"/>
              </w:rPr>
            </w:pPr>
          </w:p>
        </w:tc>
        <w:tc>
          <w:tcPr>
            <w:tcW w:w="85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b/>
                <w:color w:val="000000"/>
                <w:szCs w:val="21"/>
              </w:rPr>
            </w:pPr>
          </w:p>
        </w:tc>
      </w:tr>
    </w:tbl>
    <w:p>
      <w:pPr>
        <w:spacing w:line="360" w:lineRule="auto"/>
        <w:jc w:val="left"/>
        <w:rPr>
          <w:b/>
          <w:color w:val="000000"/>
          <w:szCs w:val="21"/>
        </w:rPr>
      </w:pPr>
    </w:p>
    <w:p>
      <w:pPr>
        <w:spacing w:line="360" w:lineRule="auto"/>
        <w:jc w:val="left"/>
        <w:rPr>
          <w:b/>
          <w:color w:val="000000"/>
          <w:szCs w:val="21"/>
        </w:rPr>
      </w:pPr>
      <w:r>
        <w:rPr>
          <w:rFonts w:hAnsi="宋体"/>
          <w:b/>
          <w:color w:val="000000"/>
          <w:szCs w:val="21"/>
        </w:rPr>
        <w:t>三</w:t>
      </w:r>
      <w:r>
        <w:rPr>
          <w:rFonts w:hint="eastAsia" w:hAnsi="宋体"/>
          <w:b/>
          <w:color w:val="000000"/>
          <w:szCs w:val="21"/>
        </w:rPr>
        <w:t>、</w:t>
      </w:r>
      <w:r>
        <w:rPr>
          <w:rFonts w:hAnsi="宋体"/>
          <w:b/>
          <w:color w:val="000000"/>
          <w:szCs w:val="21"/>
        </w:rPr>
        <w:t>判断题</w:t>
      </w:r>
    </w:p>
    <w:tbl>
      <w:tblPr>
        <w:tblStyle w:val="9"/>
        <w:tblW w:w="85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3"/>
        <w:gridCol w:w="853"/>
        <w:gridCol w:w="853"/>
        <w:gridCol w:w="853"/>
        <w:gridCol w:w="853"/>
        <w:gridCol w:w="853"/>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spacing w:line="360" w:lineRule="auto"/>
              <w:jc w:val="center"/>
              <w:rPr>
                <w:b/>
                <w:color w:val="000000"/>
                <w:szCs w:val="21"/>
              </w:rPr>
            </w:pPr>
            <w:r>
              <w:rPr>
                <w:b/>
                <w:color w:val="000000"/>
                <w:szCs w:val="21"/>
              </w:rPr>
              <w:t>1</w:t>
            </w:r>
          </w:p>
        </w:tc>
        <w:tc>
          <w:tcPr>
            <w:tcW w:w="852" w:type="dxa"/>
            <w:vAlign w:val="top"/>
          </w:tcPr>
          <w:p>
            <w:pPr>
              <w:spacing w:line="360" w:lineRule="auto"/>
              <w:jc w:val="center"/>
              <w:rPr>
                <w:b/>
                <w:color w:val="000000"/>
                <w:szCs w:val="21"/>
              </w:rPr>
            </w:pPr>
            <w:r>
              <w:rPr>
                <w:b/>
                <w:color w:val="000000"/>
                <w:szCs w:val="21"/>
              </w:rPr>
              <w:t>2</w:t>
            </w:r>
          </w:p>
        </w:tc>
        <w:tc>
          <w:tcPr>
            <w:tcW w:w="853" w:type="dxa"/>
            <w:vAlign w:val="top"/>
          </w:tcPr>
          <w:p>
            <w:pPr>
              <w:spacing w:line="360" w:lineRule="auto"/>
              <w:jc w:val="center"/>
              <w:rPr>
                <w:b/>
                <w:color w:val="000000"/>
                <w:szCs w:val="21"/>
              </w:rPr>
            </w:pPr>
            <w:r>
              <w:rPr>
                <w:b/>
                <w:color w:val="000000"/>
                <w:szCs w:val="21"/>
              </w:rPr>
              <w:t>3</w:t>
            </w:r>
          </w:p>
        </w:tc>
        <w:tc>
          <w:tcPr>
            <w:tcW w:w="853" w:type="dxa"/>
            <w:vAlign w:val="top"/>
          </w:tcPr>
          <w:p>
            <w:pPr>
              <w:spacing w:line="360" w:lineRule="auto"/>
              <w:jc w:val="center"/>
              <w:rPr>
                <w:b/>
                <w:color w:val="000000"/>
                <w:szCs w:val="21"/>
              </w:rPr>
            </w:pPr>
            <w:r>
              <w:rPr>
                <w:b/>
                <w:color w:val="000000"/>
                <w:szCs w:val="21"/>
              </w:rPr>
              <w:t>4</w:t>
            </w:r>
          </w:p>
        </w:tc>
        <w:tc>
          <w:tcPr>
            <w:tcW w:w="853" w:type="dxa"/>
            <w:vAlign w:val="top"/>
          </w:tcPr>
          <w:p>
            <w:pPr>
              <w:spacing w:line="360" w:lineRule="auto"/>
              <w:jc w:val="center"/>
              <w:rPr>
                <w:b/>
                <w:color w:val="000000"/>
                <w:szCs w:val="21"/>
              </w:rPr>
            </w:pPr>
            <w:r>
              <w:rPr>
                <w:b/>
                <w:color w:val="000000"/>
                <w:szCs w:val="21"/>
              </w:rPr>
              <w:t>5</w:t>
            </w:r>
          </w:p>
        </w:tc>
        <w:tc>
          <w:tcPr>
            <w:tcW w:w="853" w:type="dxa"/>
            <w:vAlign w:val="top"/>
          </w:tcPr>
          <w:p>
            <w:pPr>
              <w:spacing w:line="360" w:lineRule="auto"/>
              <w:jc w:val="center"/>
              <w:rPr>
                <w:b/>
                <w:color w:val="000000"/>
                <w:szCs w:val="21"/>
              </w:rPr>
            </w:pPr>
            <w:r>
              <w:rPr>
                <w:b/>
                <w:color w:val="000000"/>
                <w:szCs w:val="21"/>
              </w:rPr>
              <w:t>6</w:t>
            </w:r>
          </w:p>
        </w:tc>
        <w:tc>
          <w:tcPr>
            <w:tcW w:w="853" w:type="dxa"/>
            <w:vAlign w:val="top"/>
          </w:tcPr>
          <w:p>
            <w:pPr>
              <w:spacing w:line="360" w:lineRule="auto"/>
              <w:jc w:val="center"/>
              <w:rPr>
                <w:b/>
                <w:color w:val="000000"/>
                <w:szCs w:val="21"/>
              </w:rPr>
            </w:pPr>
            <w:r>
              <w:rPr>
                <w:b/>
                <w:color w:val="000000"/>
                <w:szCs w:val="21"/>
              </w:rPr>
              <w:t>7</w:t>
            </w:r>
          </w:p>
        </w:tc>
        <w:tc>
          <w:tcPr>
            <w:tcW w:w="853" w:type="dxa"/>
            <w:vAlign w:val="top"/>
          </w:tcPr>
          <w:p>
            <w:pPr>
              <w:spacing w:line="360" w:lineRule="auto"/>
              <w:jc w:val="center"/>
              <w:rPr>
                <w:b/>
                <w:color w:val="000000"/>
                <w:szCs w:val="21"/>
              </w:rPr>
            </w:pPr>
            <w:r>
              <w:rPr>
                <w:b/>
                <w:color w:val="000000"/>
                <w:szCs w:val="21"/>
              </w:rPr>
              <w:t>8</w:t>
            </w:r>
          </w:p>
        </w:tc>
        <w:tc>
          <w:tcPr>
            <w:tcW w:w="853" w:type="dxa"/>
            <w:vAlign w:val="top"/>
          </w:tcPr>
          <w:p>
            <w:pPr>
              <w:spacing w:line="360" w:lineRule="auto"/>
              <w:jc w:val="center"/>
              <w:rPr>
                <w:b/>
                <w:color w:val="000000"/>
                <w:szCs w:val="21"/>
              </w:rPr>
            </w:pPr>
            <w:r>
              <w:rPr>
                <w:rFonts w:hint="eastAsia"/>
                <w:b/>
                <w:color w:val="000000"/>
                <w:szCs w:val="21"/>
              </w:rPr>
              <w:t>9</w:t>
            </w:r>
          </w:p>
        </w:tc>
        <w:tc>
          <w:tcPr>
            <w:tcW w:w="853" w:type="dxa"/>
            <w:vAlign w:val="top"/>
          </w:tcPr>
          <w:p>
            <w:pPr>
              <w:spacing w:line="360" w:lineRule="auto"/>
              <w:jc w:val="center"/>
              <w:rPr>
                <w:b/>
                <w:color w:val="000000"/>
                <w:szCs w:val="21"/>
              </w:rPr>
            </w:pPr>
            <w:r>
              <w:rPr>
                <w:rFonts w:hint="eastAsia"/>
                <w:b/>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spacing w:line="360" w:lineRule="auto"/>
              <w:jc w:val="center"/>
              <w:rPr>
                <w:color w:val="000000"/>
                <w:szCs w:val="21"/>
              </w:rPr>
            </w:pPr>
            <w:r>
              <w:rPr>
                <w:rFonts w:hint="eastAsia"/>
                <w:color w:val="000000"/>
                <w:szCs w:val="21"/>
              </w:rPr>
              <w:t>×</w:t>
            </w:r>
          </w:p>
        </w:tc>
        <w:tc>
          <w:tcPr>
            <w:tcW w:w="852" w:type="dxa"/>
            <w:vAlign w:val="top"/>
          </w:tcPr>
          <w:p>
            <w:pPr>
              <w:spacing w:line="360" w:lineRule="auto"/>
              <w:jc w:val="center"/>
              <w:rPr>
                <w:color w:val="000000"/>
                <w:szCs w:val="21"/>
              </w:rPr>
            </w:pPr>
            <w:r>
              <w:rPr>
                <w:rFonts w:hint="eastAsia"/>
                <w:color w:val="000000"/>
                <w:szCs w:val="21"/>
              </w:rPr>
              <w:t>×</w:t>
            </w:r>
          </w:p>
        </w:tc>
        <w:tc>
          <w:tcPr>
            <w:tcW w:w="853" w:type="dxa"/>
            <w:vAlign w:val="top"/>
          </w:tcPr>
          <w:p>
            <w:pPr>
              <w:spacing w:line="360" w:lineRule="auto"/>
              <w:jc w:val="center"/>
              <w:rPr>
                <w:color w:val="000000"/>
                <w:szCs w:val="21"/>
              </w:rPr>
            </w:pPr>
            <w:r>
              <w:rPr>
                <w:rFonts w:hint="eastAsia"/>
                <w:color w:val="000000"/>
                <w:szCs w:val="21"/>
              </w:rPr>
              <w:t>√</w:t>
            </w:r>
          </w:p>
        </w:tc>
        <w:tc>
          <w:tcPr>
            <w:tcW w:w="853" w:type="dxa"/>
            <w:vAlign w:val="top"/>
          </w:tcPr>
          <w:p>
            <w:pPr>
              <w:spacing w:line="360" w:lineRule="auto"/>
              <w:jc w:val="center"/>
              <w:rPr>
                <w:b/>
                <w:color w:val="000000"/>
                <w:szCs w:val="21"/>
              </w:rPr>
            </w:pPr>
            <w:r>
              <w:rPr>
                <w:rFonts w:hint="eastAsia"/>
                <w:color w:val="000000"/>
                <w:szCs w:val="21"/>
              </w:rPr>
              <w:t>×</w:t>
            </w:r>
          </w:p>
        </w:tc>
        <w:tc>
          <w:tcPr>
            <w:tcW w:w="853" w:type="dxa"/>
            <w:vAlign w:val="top"/>
          </w:tcPr>
          <w:p>
            <w:pPr>
              <w:spacing w:line="360" w:lineRule="auto"/>
              <w:jc w:val="center"/>
              <w:rPr>
                <w:b/>
                <w:color w:val="000000"/>
                <w:szCs w:val="21"/>
              </w:rPr>
            </w:pPr>
            <w:r>
              <w:rPr>
                <w:rFonts w:hint="eastAsia"/>
                <w:color w:val="000000"/>
                <w:szCs w:val="21"/>
              </w:rPr>
              <w:t>√</w:t>
            </w:r>
          </w:p>
        </w:tc>
        <w:tc>
          <w:tcPr>
            <w:tcW w:w="853" w:type="dxa"/>
            <w:vAlign w:val="top"/>
          </w:tcPr>
          <w:p>
            <w:pPr>
              <w:spacing w:line="360" w:lineRule="auto"/>
              <w:jc w:val="center"/>
              <w:rPr>
                <w:b/>
                <w:color w:val="000000"/>
                <w:szCs w:val="21"/>
              </w:rPr>
            </w:pPr>
            <w:r>
              <w:rPr>
                <w:rFonts w:hint="eastAsia"/>
                <w:color w:val="000000"/>
                <w:szCs w:val="21"/>
              </w:rPr>
              <w:t>×</w:t>
            </w:r>
          </w:p>
        </w:tc>
        <w:tc>
          <w:tcPr>
            <w:tcW w:w="853" w:type="dxa"/>
            <w:vAlign w:val="top"/>
          </w:tcPr>
          <w:p>
            <w:pPr>
              <w:spacing w:line="360" w:lineRule="auto"/>
              <w:jc w:val="center"/>
              <w:rPr>
                <w:color w:val="000000"/>
                <w:szCs w:val="21"/>
              </w:rPr>
            </w:pPr>
            <w:r>
              <w:rPr>
                <w:rFonts w:hint="eastAsia"/>
                <w:color w:val="000000"/>
                <w:szCs w:val="21"/>
              </w:rPr>
              <w:t>√</w:t>
            </w:r>
          </w:p>
        </w:tc>
        <w:tc>
          <w:tcPr>
            <w:tcW w:w="853" w:type="dxa"/>
            <w:vAlign w:val="top"/>
          </w:tcPr>
          <w:p>
            <w:pPr>
              <w:spacing w:line="360" w:lineRule="auto"/>
              <w:jc w:val="center"/>
              <w:rPr>
                <w:b/>
                <w:color w:val="000000"/>
                <w:szCs w:val="21"/>
              </w:rPr>
            </w:pPr>
            <w:r>
              <w:rPr>
                <w:rFonts w:hint="eastAsia"/>
                <w:color w:val="000000"/>
                <w:szCs w:val="21"/>
              </w:rPr>
              <w:t>×</w:t>
            </w:r>
          </w:p>
        </w:tc>
        <w:tc>
          <w:tcPr>
            <w:tcW w:w="853" w:type="dxa"/>
            <w:vAlign w:val="top"/>
          </w:tcPr>
          <w:p>
            <w:pPr>
              <w:spacing w:line="360" w:lineRule="auto"/>
              <w:jc w:val="center"/>
              <w:rPr>
                <w:color w:val="000000"/>
                <w:szCs w:val="21"/>
              </w:rPr>
            </w:pPr>
            <w:r>
              <w:rPr>
                <w:rFonts w:hint="eastAsia"/>
                <w:color w:val="000000"/>
                <w:szCs w:val="21"/>
              </w:rPr>
              <w:t>×</w:t>
            </w:r>
          </w:p>
        </w:tc>
        <w:tc>
          <w:tcPr>
            <w:tcW w:w="853" w:type="dxa"/>
            <w:vAlign w:val="top"/>
          </w:tcPr>
          <w:p>
            <w:pPr>
              <w:spacing w:line="360" w:lineRule="auto"/>
              <w:jc w:val="cente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spacing w:line="360" w:lineRule="auto"/>
              <w:jc w:val="center"/>
              <w:rPr>
                <w:b/>
                <w:color w:val="000000"/>
                <w:szCs w:val="21"/>
              </w:rPr>
            </w:pPr>
            <w:r>
              <w:rPr>
                <w:rFonts w:hint="eastAsia"/>
                <w:b/>
                <w:color w:val="000000"/>
                <w:szCs w:val="21"/>
              </w:rPr>
              <w:t>11</w:t>
            </w:r>
          </w:p>
        </w:tc>
        <w:tc>
          <w:tcPr>
            <w:tcW w:w="852" w:type="dxa"/>
            <w:vAlign w:val="top"/>
          </w:tcPr>
          <w:p>
            <w:pPr>
              <w:spacing w:line="360" w:lineRule="auto"/>
              <w:jc w:val="center"/>
              <w:rPr>
                <w:b/>
                <w:color w:val="000000"/>
                <w:szCs w:val="21"/>
              </w:rPr>
            </w:pPr>
            <w:r>
              <w:rPr>
                <w:rFonts w:hint="eastAsia"/>
                <w:b/>
                <w:color w:val="000000"/>
                <w:szCs w:val="21"/>
              </w:rPr>
              <w:t>12</w:t>
            </w:r>
          </w:p>
        </w:tc>
        <w:tc>
          <w:tcPr>
            <w:tcW w:w="853" w:type="dxa"/>
            <w:vAlign w:val="top"/>
          </w:tcPr>
          <w:p>
            <w:pPr>
              <w:spacing w:line="360" w:lineRule="auto"/>
              <w:jc w:val="center"/>
              <w:rPr>
                <w:b/>
                <w:color w:val="000000"/>
                <w:szCs w:val="21"/>
              </w:rPr>
            </w:pPr>
            <w:r>
              <w:rPr>
                <w:rFonts w:hint="eastAsia"/>
                <w:b/>
                <w:color w:val="000000"/>
                <w:szCs w:val="21"/>
              </w:rPr>
              <w:t>13</w:t>
            </w:r>
          </w:p>
        </w:tc>
        <w:tc>
          <w:tcPr>
            <w:tcW w:w="853" w:type="dxa"/>
            <w:vAlign w:val="top"/>
          </w:tcPr>
          <w:p>
            <w:pPr>
              <w:spacing w:line="360" w:lineRule="auto"/>
              <w:jc w:val="center"/>
              <w:rPr>
                <w:b/>
                <w:color w:val="000000"/>
                <w:szCs w:val="21"/>
              </w:rPr>
            </w:pPr>
            <w:r>
              <w:rPr>
                <w:rFonts w:hint="eastAsia"/>
                <w:b/>
                <w:color w:val="000000"/>
                <w:szCs w:val="21"/>
              </w:rPr>
              <w:t>14</w:t>
            </w:r>
          </w:p>
        </w:tc>
        <w:tc>
          <w:tcPr>
            <w:tcW w:w="853" w:type="dxa"/>
            <w:vAlign w:val="top"/>
          </w:tcPr>
          <w:p>
            <w:pPr>
              <w:spacing w:line="360" w:lineRule="auto"/>
              <w:jc w:val="center"/>
              <w:rPr>
                <w:b/>
                <w:color w:val="000000"/>
                <w:szCs w:val="21"/>
              </w:rPr>
            </w:pPr>
            <w:r>
              <w:rPr>
                <w:rFonts w:hint="eastAsia"/>
                <w:b/>
                <w:color w:val="000000"/>
                <w:szCs w:val="21"/>
              </w:rPr>
              <w:t>15</w:t>
            </w:r>
          </w:p>
        </w:tc>
        <w:tc>
          <w:tcPr>
            <w:tcW w:w="853" w:type="dxa"/>
            <w:vAlign w:val="top"/>
          </w:tcPr>
          <w:p>
            <w:pPr>
              <w:spacing w:line="360" w:lineRule="auto"/>
              <w:jc w:val="center"/>
              <w:rPr>
                <w:b/>
                <w:color w:val="000000"/>
                <w:szCs w:val="21"/>
              </w:rPr>
            </w:pPr>
            <w:r>
              <w:rPr>
                <w:rFonts w:hint="eastAsia"/>
                <w:b/>
                <w:color w:val="000000"/>
                <w:szCs w:val="21"/>
              </w:rPr>
              <w:t>16</w:t>
            </w:r>
          </w:p>
        </w:tc>
        <w:tc>
          <w:tcPr>
            <w:tcW w:w="853" w:type="dxa"/>
            <w:vAlign w:val="top"/>
          </w:tcPr>
          <w:p>
            <w:pPr>
              <w:spacing w:line="360" w:lineRule="auto"/>
              <w:jc w:val="center"/>
              <w:rPr>
                <w:b/>
                <w:color w:val="000000"/>
                <w:szCs w:val="21"/>
              </w:rPr>
            </w:pPr>
          </w:p>
        </w:tc>
        <w:tc>
          <w:tcPr>
            <w:tcW w:w="853" w:type="dxa"/>
            <w:vAlign w:val="top"/>
          </w:tcPr>
          <w:p>
            <w:pPr>
              <w:spacing w:line="360" w:lineRule="auto"/>
              <w:jc w:val="center"/>
              <w:rPr>
                <w:b/>
                <w:color w:val="000000"/>
                <w:szCs w:val="21"/>
              </w:rPr>
            </w:pPr>
          </w:p>
        </w:tc>
        <w:tc>
          <w:tcPr>
            <w:tcW w:w="853" w:type="dxa"/>
            <w:vAlign w:val="top"/>
          </w:tcPr>
          <w:p>
            <w:pPr>
              <w:spacing w:line="360" w:lineRule="auto"/>
              <w:jc w:val="center"/>
              <w:rPr>
                <w:b/>
                <w:color w:val="000000"/>
                <w:szCs w:val="21"/>
              </w:rPr>
            </w:pPr>
          </w:p>
        </w:tc>
        <w:tc>
          <w:tcPr>
            <w:tcW w:w="853" w:type="dxa"/>
            <w:vAlign w:val="top"/>
          </w:tcPr>
          <w:p>
            <w:pPr>
              <w:spacing w:line="360" w:lineRule="auto"/>
              <w:jc w:val="center"/>
              <w:rPr>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spacing w:line="360" w:lineRule="auto"/>
              <w:jc w:val="center"/>
              <w:rPr>
                <w:color w:val="000000"/>
                <w:szCs w:val="21"/>
              </w:rPr>
            </w:pPr>
            <w:r>
              <w:rPr>
                <w:rFonts w:hint="eastAsia"/>
                <w:color w:val="000000"/>
                <w:szCs w:val="21"/>
              </w:rPr>
              <w:t>×</w:t>
            </w:r>
          </w:p>
        </w:tc>
        <w:tc>
          <w:tcPr>
            <w:tcW w:w="852" w:type="dxa"/>
            <w:vAlign w:val="top"/>
          </w:tcPr>
          <w:p>
            <w:pPr>
              <w:spacing w:line="360" w:lineRule="auto"/>
              <w:jc w:val="center"/>
              <w:rPr>
                <w:b/>
                <w:color w:val="000000"/>
                <w:szCs w:val="21"/>
              </w:rPr>
            </w:pPr>
            <w:r>
              <w:rPr>
                <w:rFonts w:hint="eastAsia"/>
                <w:color w:val="000000"/>
                <w:szCs w:val="21"/>
              </w:rPr>
              <w:t>×</w:t>
            </w:r>
          </w:p>
        </w:tc>
        <w:tc>
          <w:tcPr>
            <w:tcW w:w="853" w:type="dxa"/>
            <w:vAlign w:val="top"/>
          </w:tcPr>
          <w:p>
            <w:pPr>
              <w:spacing w:line="360" w:lineRule="auto"/>
              <w:jc w:val="center"/>
              <w:rPr>
                <w:b/>
                <w:color w:val="000000"/>
                <w:szCs w:val="21"/>
              </w:rPr>
            </w:pPr>
            <w:r>
              <w:rPr>
                <w:rFonts w:hint="eastAsia"/>
                <w:color w:val="000000"/>
                <w:szCs w:val="21"/>
              </w:rPr>
              <w:t>√</w:t>
            </w:r>
          </w:p>
        </w:tc>
        <w:tc>
          <w:tcPr>
            <w:tcW w:w="853" w:type="dxa"/>
            <w:vAlign w:val="top"/>
          </w:tcPr>
          <w:p>
            <w:pPr>
              <w:spacing w:line="360" w:lineRule="auto"/>
              <w:jc w:val="center"/>
              <w:rPr>
                <w:b/>
                <w:color w:val="000000"/>
                <w:szCs w:val="21"/>
              </w:rPr>
            </w:pPr>
            <w:r>
              <w:rPr>
                <w:rFonts w:hint="eastAsia"/>
                <w:color w:val="000000"/>
                <w:szCs w:val="21"/>
              </w:rPr>
              <w:t>√</w:t>
            </w:r>
          </w:p>
        </w:tc>
        <w:tc>
          <w:tcPr>
            <w:tcW w:w="853" w:type="dxa"/>
            <w:vAlign w:val="top"/>
          </w:tcPr>
          <w:p>
            <w:pPr>
              <w:spacing w:line="360" w:lineRule="auto"/>
              <w:jc w:val="center"/>
              <w:rPr>
                <w:b/>
                <w:color w:val="000000"/>
                <w:szCs w:val="21"/>
              </w:rPr>
            </w:pPr>
            <w:r>
              <w:rPr>
                <w:rFonts w:hint="eastAsia"/>
                <w:color w:val="000000"/>
                <w:szCs w:val="21"/>
              </w:rPr>
              <w:t>×</w:t>
            </w:r>
          </w:p>
        </w:tc>
        <w:tc>
          <w:tcPr>
            <w:tcW w:w="853" w:type="dxa"/>
            <w:vAlign w:val="top"/>
          </w:tcPr>
          <w:p>
            <w:pPr>
              <w:spacing w:line="360" w:lineRule="auto"/>
              <w:jc w:val="center"/>
              <w:rPr>
                <w:b/>
                <w:color w:val="000000"/>
                <w:szCs w:val="21"/>
              </w:rPr>
            </w:pPr>
            <w:r>
              <w:rPr>
                <w:rFonts w:hint="eastAsia"/>
                <w:color w:val="000000"/>
                <w:szCs w:val="21"/>
              </w:rPr>
              <w:t>√</w:t>
            </w:r>
          </w:p>
        </w:tc>
        <w:tc>
          <w:tcPr>
            <w:tcW w:w="853" w:type="dxa"/>
            <w:vAlign w:val="top"/>
          </w:tcPr>
          <w:p>
            <w:pPr>
              <w:spacing w:line="360" w:lineRule="auto"/>
              <w:jc w:val="center"/>
              <w:rPr>
                <w:b/>
                <w:color w:val="000000"/>
                <w:szCs w:val="21"/>
              </w:rPr>
            </w:pPr>
          </w:p>
        </w:tc>
        <w:tc>
          <w:tcPr>
            <w:tcW w:w="853" w:type="dxa"/>
            <w:vAlign w:val="top"/>
          </w:tcPr>
          <w:p>
            <w:pPr>
              <w:spacing w:line="360" w:lineRule="auto"/>
              <w:jc w:val="center"/>
              <w:rPr>
                <w:b/>
                <w:color w:val="000000"/>
                <w:szCs w:val="21"/>
              </w:rPr>
            </w:pPr>
          </w:p>
        </w:tc>
        <w:tc>
          <w:tcPr>
            <w:tcW w:w="853" w:type="dxa"/>
            <w:vAlign w:val="top"/>
          </w:tcPr>
          <w:p>
            <w:pPr>
              <w:spacing w:line="360" w:lineRule="auto"/>
              <w:jc w:val="center"/>
              <w:rPr>
                <w:b/>
                <w:color w:val="000000"/>
                <w:szCs w:val="21"/>
              </w:rPr>
            </w:pPr>
          </w:p>
        </w:tc>
        <w:tc>
          <w:tcPr>
            <w:tcW w:w="853" w:type="dxa"/>
            <w:vAlign w:val="top"/>
          </w:tcPr>
          <w:p>
            <w:pPr>
              <w:spacing w:line="360" w:lineRule="auto"/>
              <w:jc w:val="center"/>
              <w:rPr>
                <w:b/>
                <w:color w:val="000000"/>
                <w:szCs w:val="21"/>
              </w:rPr>
            </w:pPr>
          </w:p>
        </w:tc>
      </w:tr>
    </w:tbl>
    <w:p>
      <w:pPr>
        <w:spacing w:line="360" w:lineRule="auto"/>
        <w:jc w:val="left"/>
        <w:rPr>
          <w:rFonts w:hAnsi="宋体"/>
          <w:b/>
          <w:color w:val="000000"/>
          <w:szCs w:val="21"/>
        </w:rPr>
      </w:pPr>
    </w:p>
    <w:p>
      <w:pPr>
        <w:spacing w:line="360" w:lineRule="auto"/>
        <w:jc w:val="left"/>
        <w:rPr>
          <w:color w:val="000000"/>
          <w:szCs w:val="21"/>
        </w:rPr>
      </w:pPr>
      <w:r>
        <w:rPr>
          <w:rFonts w:hAnsi="宋体"/>
          <w:b/>
          <w:color w:val="000000"/>
          <w:szCs w:val="21"/>
        </w:rPr>
        <w:t>四．名词解释</w:t>
      </w:r>
    </w:p>
    <w:p>
      <w:pPr>
        <w:spacing w:line="360" w:lineRule="auto"/>
        <w:jc w:val="left"/>
        <w:rPr>
          <w:rFonts w:hAnsi="宋体"/>
          <w:color w:val="000000"/>
          <w:szCs w:val="21"/>
        </w:rPr>
      </w:pPr>
      <w:r>
        <w:rPr>
          <w:color w:val="000000"/>
          <w:szCs w:val="21"/>
        </w:rPr>
        <w:t>1.</w:t>
      </w:r>
      <w:r>
        <w:rPr>
          <w:rFonts w:hAnsi="宋体"/>
          <w:color w:val="000000"/>
          <w:szCs w:val="21"/>
        </w:rPr>
        <w:t>财务管理</w:t>
      </w:r>
    </w:p>
    <w:p>
      <w:pPr>
        <w:spacing w:line="360" w:lineRule="auto"/>
        <w:jc w:val="left"/>
        <w:rPr>
          <w:color w:val="000000"/>
          <w:szCs w:val="21"/>
        </w:rPr>
      </w:pPr>
      <w:r>
        <w:rPr>
          <w:rFonts w:hAnsi="宋体"/>
          <w:color w:val="000000"/>
          <w:szCs w:val="21"/>
        </w:rPr>
        <w:t>是指组织企业财务活动，处理财务关系的一项经济管理工作。进一步理解：财务管理是有关企业资本筹集、运用和分配等财务活动及其所体现的财务关系的管理工作。</w:t>
      </w:r>
    </w:p>
    <w:p>
      <w:pPr>
        <w:numPr>
          <w:ilvl w:val="0"/>
          <w:numId w:val="1"/>
        </w:numPr>
        <w:spacing w:line="360" w:lineRule="auto"/>
        <w:jc w:val="left"/>
        <w:rPr>
          <w:rFonts w:hAnsi="宋体"/>
          <w:color w:val="000000"/>
          <w:szCs w:val="21"/>
        </w:rPr>
      </w:pPr>
      <w:r>
        <w:rPr>
          <w:rFonts w:hAnsi="宋体"/>
          <w:color w:val="000000"/>
          <w:szCs w:val="21"/>
        </w:rPr>
        <w:t>资金的时间价值</w:t>
      </w:r>
    </w:p>
    <w:p>
      <w:pPr>
        <w:spacing w:line="360" w:lineRule="auto"/>
        <w:jc w:val="left"/>
        <w:rPr>
          <w:color w:val="000000"/>
          <w:szCs w:val="21"/>
          <w:shd w:val="clear" w:color="auto" w:fill="FFFFFF"/>
        </w:rPr>
      </w:pPr>
      <w:r>
        <w:rPr>
          <w:rFonts w:hAnsi="宋体"/>
          <w:color w:val="000000"/>
          <w:szCs w:val="21"/>
          <w:shd w:val="clear" w:color="auto" w:fill="FFFFFF"/>
        </w:rPr>
        <w:t>是指货币随着时间的推移而发生的增值，是资金周转使用后的增值额。</w:t>
      </w:r>
    </w:p>
    <w:p>
      <w:pPr>
        <w:numPr>
          <w:ilvl w:val="0"/>
          <w:numId w:val="1"/>
        </w:numPr>
        <w:spacing w:line="360" w:lineRule="auto"/>
        <w:jc w:val="left"/>
        <w:rPr>
          <w:rFonts w:hAnsi="宋体"/>
          <w:color w:val="000000"/>
          <w:szCs w:val="21"/>
        </w:rPr>
      </w:pPr>
      <w:r>
        <w:rPr>
          <w:rFonts w:hAnsi="宋体"/>
          <w:color w:val="000000"/>
          <w:szCs w:val="21"/>
        </w:rPr>
        <w:t>金融衍生品</w:t>
      </w:r>
    </w:p>
    <w:p>
      <w:pPr>
        <w:spacing w:line="360" w:lineRule="auto"/>
        <w:jc w:val="left"/>
        <w:rPr>
          <w:rFonts w:hAnsi="宋体"/>
          <w:color w:val="000000"/>
          <w:szCs w:val="21"/>
        </w:rPr>
      </w:pPr>
      <w:r>
        <w:rPr>
          <w:rFonts w:hAnsi="宋体"/>
          <w:color w:val="000000"/>
          <w:szCs w:val="21"/>
        </w:rPr>
        <w:t>也称金融衍生工具、衍生金融产品、衍生金融工具等，是以基础金融产品为基础和买卖对象</w:t>
      </w:r>
      <w:r>
        <w:rPr>
          <w:rFonts w:hint="eastAsia" w:hAnsi="宋体"/>
          <w:color w:val="000000"/>
          <w:szCs w:val="21"/>
        </w:rPr>
        <w:t>。</w:t>
      </w:r>
    </w:p>
    <w:p>
      <w:pPr>
        <w:numPr>
          <w:ilvl w:val="0"/>
          <w:numId w:val="1"/>
        </w:numPr>
        <w:spacing w:line="360" w:lineRule="auto"/>
        <w:jc w:val="left"/>
        <w:rPr>
          <w:rFonts w:hAnsi="宋体"/>
          <w:color w:val="000000"/>
          <w:szCs w:val="21"/>
        </w:rPr>
      </w:pPr>
      <w:r>
        <w:rPr>
          <w:rFonts w:hAnsi="宋体"/>
          <w:color w:val="000000"/>
          <w:szCs w:val="21"/>
        </w:rPr>
        <w:t>价格</w:t>
      </w:r>
    </w:p>
    <w:p>
      <w:pPr>
        <w:spacing w:line="360" w:lineRule="auto"/>
        <w:jc w:val="left"/>
        <w:rPr>
          <w:rFonts w:hAnsi="宋体"/>
          <w:color w:val="000000"/>
          <w:szCs w:val="21"/>
        </w:rPr>
      </w:pPr>
      <w:r>
        <w:rPr>
          <w:rFonts w:hAnsi="宋体"/>
          <w:color w:val="000000"/>
          <w:szCs w:val="21"/>
        </w:rPr>
        <w:t>由基础金融产品决定的金融合约或支付互换协议。</w:t>
      </w:r>
    </w:p>
    <w:p>
      <w:pPr>
        <w:numPr>
          <w:ilvl w:val="0"/>
          <w:numId w:val="1"/>
        </w:numPr>
        <w:spacing w:line="360" w:lineRule="auto"/>
        <w:jc w:val="left"/>
        <w:rPr>
          <w:rFonts w:hAnsi="宋体"/>
          <w:color w:val="000000"/>
          <w:szCs w:val="21"/>
        </w:rPr>
      </w:pPr>
      <w:r>
        <w:rPr>
          <w:rFonts w:hAnsi="宋体"/>
          <w:color w:val="000000"/>
          <w:szCs w:val="21"/>
        </w:rPr>
        <w:t>风险</w:t>
      </w:r>
    </w:p>
    <w:p>
      <w:pPr>
        <w:spacing w:line="360" w:lineRule="auto"/>
        <w:jc w:val="left"/>
        <w:rPr>
          <w:color w:val="000000"/>
          <w:szCs w:val="21"/>
        </w:rPr>
      </w:pPr>
      <w:r>
        <w:rPr>
          <w:rFonts w:hAnsi="宋体"/>
          <w:color w:val="000000"/>
          <w:szCs w:val="21"/>
        </w:rPr>
        <w:t>是指在一定条件下和一定时期内可能发生的各种结果的变动程度。</w:t>
      </w:r>
    </w:p>
    <w:p>
      <w:pPr>
        <w:numPr>
          <w:ilvl w:val="0"/>
          <w:numId w:val="1"/>
        </w:numPr>
        <w:spacing w:line="360" w:lineRule="auto"/>
        <w:jc w:val="left"/>
        <w:rPr>
          <w:rFonts w:hAnsi="宋体"/>
          <w:color w:val="000000"/>
          <w:szCs w:val="21"/>
        </w:rPr>
      </w:pPr>
      <w:r>
        <w:rPr>
          <w:rFonts w:hAnsi="宋体"/>
          <w:color w:val="000000"/>
          <w:szCs w:val="21"/>
        </w:rPr>
        <w:t>现金流量</w:t>
      </w:r>
    </w:p>
    <w:p>
      <w:pPr>
        <w:spacing w:line="360" w:lineRule="auto"/>
        <w:jc w:val="left"/>
        <w:rPr>
          <w:color w:val="000000"/>
          <w:szCs w:val="21"/>
        </w:rPr>
      </w:pPr>
      <w:r>
        <w:rPr>
          <w:rFonts w:hAnsi="宋体"/>
          <w:color w:val="000000"/>
          <w:szCs w:val="21"/>
        </w:rPr>
        <w:t>是指一个项目在其计算期内因资本循环而可能发生或应该发生的现金流入量与现金流出量的统称。</w:t>
      </w:r>
    </w:p>
    <w:p>
      <w:pPr>
        <w:pStyle w:val="5"/>
        <w:numPr>
          <w:ilvl w:val="0"/>
          <w:numId w:val="1"/>
        </w:numPr>
        <w:spacing w:before="0" w:beforeAutospacing="0" w:after="0" w:afterAutospacing="0" w:line="360" w:lineRule="auto"/>
        <w:rPr>
          <w:rFonts w:ascii="Times New Roman" w:cs="Times New Roman"/>
          <w:color w:val="000000"/>
          <w:sz w:val="21"/>
          <w:szCs w:val="21"/>
        </w:rPr>
      </w:pPr>
      <w:r>
        <w:rPr>
          <w:rFonts w:ascii="Times New Roman" w:cs="Times New Roman"/>
          <w:color w:val="000000"/>
          <w:sz w:val="21"/>
          <w:szCs w:val="21"/>
        </w:rPr>
        <w:t>净现值</w:t>
      </w:r>
    </w:p>
    <w:p>
      <w:pPr>
        <w:pStyle w:val="5"/>
        <w:spacing w:before="0" w:beforeAutospacing="0" w:after="0" w:afterAutospacing="0" w:line="360" w:lineRule="auto"/>
        <w:rPr>
          <w:rFonts w:ascii="Times New Roman" w:hAnsi="Times New Roman" w:cs="Times New Roman"/>
          <w:color w:val="000000"/>
          <w:sz w:val="21"/>
          <w:szCs w:val="21"/>
        </w:rPr>
      </w:pPr>
      <w:r>
        <w:rPr>
          <w:rFonts w:ascii="Times New Roman" w:cs="Times New Roman"/>
          <w:color w:val="000000"/>
          <w:sz w:val="21"/>
          <w:szCs w:val="21"/>
        </w:rPr>
        <w:t>是指特定方案未来现金流入的现值与未来现金流出的现值之间的差额。</w:t>
      </w:r>
    </w:p>
    <w:p>
      <w:pPr>
        <w:numPr>
          <w:ilvl w:val="0"/>
          <w:numId w:val="1"/>
        </w:numPr>
        <w:spacing w:line="360" w:lineRule="auto"/>
        <w:jc w:val="left"/>
        <w:rPr>
          <w:rFonts w:hAnsi="宋体"/>
          <w:color w:val="000000"/>
          <w:szCs w:val="21"/>
        </w:rPr>
      </w:pPr>
      <w:r>
        <w:rPr>
          <w:rFonts w:hAnsi="宋体"/>
          <w:color w:val="000000"/>
          <w:szCs w:val="21"/>
        </w:rPr>
        <w:t>应收账款</w:t>
      </w:r>
    </w:p>
    <w:p>
      <w:pPr>
        <w:spacing w:line="360" w:lineRule="auto"/>
        <w:jc w:val="left"/>
        <w:rPr>
          <w:color w:val="000000"/>
          <w:szCs w:val="21"/>
        </w:rPr>
      </w:pPr>
      <w:r>
        <w:rPr>
          <w:rFonts w:hAnsi="宋体"/>
          <w:color w:val="000000"/>
          <w:szCs w:val="21"/>
        </w:rPr>
        <w:t>是指企业在生产经营过程中，由于销售、转让产品、提供出租房屋和提供劳务等业务，而向购买、接受或租用的单位和个人收取的账款，包括应收销售款、其他应收款、应收票据等。</w:t>
      </w:r>
    </w:p>
    <w:p>
      <w:pPr>
        <w:spacing w:line="360" w:lineRule="auto"/>
        <w:jc w:val="left"/>
        <w:rPr>
          <w:color w:val="000000"/>
          <w:szCs w:val="21"/>
        </w:rPr>
      </w:pPr>
    </w:p>
    <w:p>
      <w:pPr>
        <w:spacing w:line="360" w:lineRule="auto"/>
        <w:jc w:val="left"/>
        <w:rPr>
          <w:color w:val="000000"/>
          <w:szCs w:val="21"/>
        </w:rPr>
      </w:pPr>
      <w:r>
        <w:rPr>
          <w:rFonts w:hAnsi="宋体"/>
          <w:b/>
          <w:color w:val="000000"/>
          <w:szCs w:val="21"/>
        </w:rPr>
        <w:t>五．简答题</w:t>
      </w:r>
    </w:p>
    <w:p>
      <w:pPr>
        <w:pStyle w:val="5"/>
        <w:spacing w:before="0" w:beforeAutospacing="0" w:after="0" w:afterAutospacing="0" w:line="360" w:lineRule="auto"/>
        <w:rPr>
          <w:rFonts w:ascii="Times New Roman" w:hAnsi="Times New Roman" w:cs="Times New Roman"/>
          <w:color w:val="000000"/>
          <w:sz w:val="21"/>
          <w:szCs w:val="21"/>
        </w:rPr>
      </w:pPr>
      <w:r>
        <w:rPr>
          <w:rFonts w:ascii="Times New Roman" w:hAnsi="Times New Roman" w:cs="Times New Roman"/>
          <w:color w:val="000000"/>
          <w:sz w:val="21"/>
          <w:szCs w:val="21"/>
        </w:rPr>
        <w:t>1.</w:t>
      </w:r>
      <w:r>
        <w:rPr>
          <w:rFonts w:ascii="Times New Roman" w:cs="Times New Roman"/>
          <w:color w:val="000000"/>
          <w:sz w:val="21"/>
          <w:szCs w:val="21"/>
        </w:rPr>
        <w:t>简述降低资本成本的途径。</w:t>
      </w:r>
    </w:p>
    <w:p>
      <w:pPr>
        <w:pStyle w:val="5"/>
        <w:spacing w:before="0" w:beforeAutospacing="0" w:after="0" w:afterAutospacing="0" w:line="360" w:lineRule="auto"/>
        <w:rPr>
          <w:rFonts w:ascii="Times New Roman" w:hAnsi="Times New Roman" w:cs="Times New Roman"/>
          <w:color w:val="000000"/>
          <w:sz w:val="21"/>
          <w:szCs w:val="21"/>
        </w:rPr>
      </w:pPr>
      <w:r>
        <w:rPr>
          <w:rFonts w:hint="eastAsia" w:ascii="Times New Roman" w:cs="Times New Roman"/>
          <w:color w:val="000000"/>
          <w:sz w:val="21"/>
          <w:szCs w:val="21"/>
        </w:rPr>
        <w:t>答：</w:t>
      </w:r>
      <w:r>
        <w:rPr>
          <w:rFonts w:ascii="Times New Roman" w:cs="Times New Roman"/>
          <w:color w:val="000000"/>
          <w:sz w:val="21"/>
          <w:szCs w:val="21"/>
        </w:rPr>
        <w:t>（</w:t>
      </w:r>
      <w:r>
        <w:rPr>
          <w:rFonts w:ascii="Times New Roman" w:hAnsi="Times New Roman" w:cs="Times New Roman"/>
          <w:color w:val="000000"/>
          <w:sz w:val="21"/>
          <w:szCs w:val="21"/>
        </w:rPr>
        <w:t>1</w:t>
      </w:r>
      <w:r>
        <w:rPr>
          <w:rFonts w:ascii="Times New Roman" w:cs="Times New Roman"/>
          <w:color w:val="000000"/>
          <w:sz w:val="21"/>
          <w:szCs w:val="21"/>
        </w:rPr>
        <w:t>）合理安排筹资期限。</w:t>
      </w:r>
    </w:p>
    <w:p>
      <w:pPr>
        <w:pStyle w:val="5"/>
        <w:spacing w:before="0" w:beforeAutospacing="0" w:after="0" w:afterAutospacing="0" w:line="360" w:lineRule="auto"/>
        <w:ind w:firstLine="420" w:firstLineChars="200"/>
        <w:rPr>
          <w:rFonts w:ascii="Times New Roman" w:hAnsi="Times New Roman" w:cs="Times New Roman"/>
          <w:color w:val="000000"/>
          <w:sz w:val="21"/>
          <w:szCs w:val="21"/>
        </w:rPr>
      </w:pPr>
      <w:r>
        <w:rPr>
          <w:rFonts w:ascii="Times New Roman" w:cs="Times New Roman"/>
          <w:color w:val="000000"/>
          <w:sz w:val="21"/>
          <w:szCs w:val="21"/>
        </w:rPr>
        <w:t>（</w:t>
      </w:r>
      <w:r>
        <w:rPr>
          <w:rFonts w:ascii="Times New Roman" w:hAnsi="Times New Roman" w:cs="Times New Roman"/>
          <w:color w:val="000000"/>
          <w:sz w:val="21"/>
          <w:szCs w:val="21"/>
        </w:rPr>
        <w:t>2</w:t>
      </w:r>
      <w:r>
        <w:rPr>
          <w:rFonts w:ascii="Times New Roman" w:cs="Times New Roman"/>
          <w:color w:val="000000"/>
          <w:sz w:val="21"/>
          <w:szCs w:val="21"/>
        </w:rPr>
        <w:t>）合理利率预期。</w:t>
      </w:r>
    </w:p>
    <w:p>
      <w:pPr>
        <w:pStyle w:val="5"/>
        <w:spacing w:before="0" w:beforeAutospacing="0" w:after="0" w:afterAutospacing="0" w:line="360" w:lineRule="auto"/>
        <w:ind w:firstLine="420" w:firstLineChars="200"/>
        <w:rPr>
          <w:rFonts w:ascii="Times New Roman" w:hAnsi="Times New Roman" w:cs="Times New Roman"/>
          <w:color w:val="000000"/>
          <w:sz w:val="21"/>
          <w:szCs w:val="21"/>
        </w:rPr>
      </w:pPr>
      <w:r>
        <w:rPr>
          <w:rFonts w:ascii="Times New Roman" w:cs="Times New Roman"/>
          <w:color w:val="000000"/>
          <w:sz w:val="21"/>
          <w:szCs w:val="21"/>
        </w:rPr>
        <w:t>（</w:t>
      </w:r>
      <w:r>
        <w:rPr>
          <w:rFonts w:ascii="Times New Roman" w:hAnsi="Times New Roman" w:cs="Times New Roman"/>
          <w:color w:val="000000"/>
          <w:sz w:val="21"/>
          <w:szCs w:val="21"/>
        </w:rPr>
        <w:t>3</w:t>
      </w:r>
      <w:r>
        <w:rPr>
          <w:rFonts w:ascii="Times New Roman" w:cs="Times New Roman"/>
          <w:color w:val="000000"/>
          <w:sz w:val="21"/>
          <w:szCs w:val="21"/>
        </w:rPr>
        <w:t>）提高企业信誉，积极参与信用等级评估。</w:t>
      </w:r>
    </w:p>
    <w:p>
      <w:pPr>
        <w:pStyle w:val="5"/>
        <w:spacing w:before="0" w:beforeAutospacing="0" w:after="0" w:afterAutospacing="0" w:line="360" w:lineRule="auto"/>
        <w:ind w:firstLine="420" w:firstLineChars="200"/>
        <w:rPr>
          <w:rFonts w:ascii="Times New Roman" w:hAnsi="Times New Roman" w:cs="Times New Roman"/>
          <w:color w:val="000000"/>
          <w:sz w:val="21"/>
          <w:szCs w:val="21"/>
        </w:rPr>
      </w:pPr>
      <w:r>
        <w:rPr>
          <w:rFonts w:ascii="Times New Roman" w:cs="Times New Roman"/>
          <w:color w:val="000000"/>
          <w:sz w:val="21"/>
          <w:szCs w:val="21"/>
        </w:rPr>
        <w:t>（</w:t>
      </w:r>
      <w:r>
        <w:rPr>
          <w:rFonts w:ascii="Times New Roman" w:hAnsi="Times New Roman" w:cs="Times New Roman"/>
          <w:color w:val="000000"/>
          <w:sz w:val="21"/>
          <w:szCs w:val="21"/>
        </w:rPr>
        <w:t>4</w:t>
      </w:r>
      <w:r>
        <w:rPr>
          <w:rFonts w:ascii="Times New Roman" w:cs="Times New Roman"/>
          <w:color w:val="000000"/>
          <w:sz w:val="21"/>
          <w:szCs w:val="21"/>
        </w:rPr>
        <w:t>）积极利用负债经营。</w:t>
      </w:r>
    </w:p>
    <w:p>
      <w:pPr>
        <w:pStyle w:val="5"/>
        <w:spacing w:before="0" w:beforeAutospacing="0" w:after="0" w:afterAutospacing="0" w:line="360" w:lineRule="auto"/>
        <w:ind w:firstLine="420" w:firstLineChars="200"/>
        <w:rPr>
          <w:rFonts w:ascii="Times New Roman" w:cs="Times New Roman"/>
          <w:color w:val="000000"/>
          <w:sz w:val="21"/>
          <w:szCs w:val="21"/>
        </w:rPr>
      </w:pPr>
      <w:r>
        <w:rPr>
          <w:rFonts w:ascii="Times New Roman" w:cs="Times New Roman"/>
          <w:color w:val="000000"/>
          <w:sz w:val="21"/>
          <w:szCs w:val="21"/>
        </w:rPr>
        <w:t>（</w:t>
      </w:r>
      <w:r>
        <w:rPr>
          <w:rFonts w:ascii="Times New Roman" w:hAnsi="Times New Roman" w:cs="Times New Roman"/>
          <w:color w:val="000000"/>
          <w:sz w:val="21"/>
          <w:szCs w:val="21"/>
        </w:rPr>
        <w:t>5</w:t>
      </w:r>
      <w:r>
        <w:rPr>
          <w:rFonts w:ascii="Times New Roman" w:cs="Times New Roman"/>
          <w:color w:val="000000"/>
          <w:sz w:val="21"/>
          <w:szCs w:val="21"/>
        </w:rPr>
        <w:t>）积极利用股票增值机制，降低股票筹资成本。</w:t>
      </w:r>
    </w:p>
    <w:p>
      <w:pPr>
        <w:pStyle w:val="5"/>
        <w:spacing w:before="0" w:beforeAutospacing="0" w:after="0" w:afterAutospacing="0" w:line="360" w:lineRule="auto"/>
        <w:rPr>
          <w:rFonts w:ascii="Times New Roman" w:hAnsi="Times New Roman" w:cs="Times New Roman"/>
          <w:color w:val="000000"/>
          <w:sz w:val="21"/>
          <w:szCs w:val="21"/>
        </w:rPr>
      </w:pPr>
      <w:r>
        <w:rPr>
          <w:rFonts w:hint="eastAsia" w:ascii="Times New Roman" w:hAnsi="Times New Roman" w:cs="Times New Roman"/>
          <w:color w:val="000000"/>
          <w:sz w:val="21"/>
          <w:szCs w:val="21"/>
        </w:rPr>
        <w:t>2</w:t>
      </w:r>
      <w:r>
        <w:rPr>
          <w:rFonts w:ascii="Times New Roman" w:hAnsi="Times New Roman" w:cs="Times New Roman"/>
          <w:color w:val="000000"/>
          <w:sz w:val="21"/>
          <w:szCs w:val="21"/>
        </w:rPr>
        <w:t>.</w:t>
      </w:r>
      <w:r>
        <w:rPr>
          <w:rFonts w:hint="eastAsia" w:ascii="Times New Roman" w:hAnsi="Times New Roman" w:cs="Times New Roman"/>
          <w:color w:val="000000"/>
          <w:sz w:val="21"/>
          <w:szCs w:val="21"/>
        </w:rPr>
        <w:t>简述</w:t>
      </w:r>
      <w:r>
        <w:rPr>
          <w:rFonts w:ascii="Times New Roman" w:cs="Times New Roman"/>
          <w:color w:val="000000"/>
          <w:sz w:val="21"/>
          <w:szCs w:val="21"/>
        </w:rPr>
        <w:t>财务管理</w:t>
      </w:r>
      <w:r>
        <w:rPr>
          <w:rFonts w:hint="eastAsia" w:ascii="Times New Roman" w:cs="Times New Roman"/>
          <w:color w:val="000000"/>
          <w:sz w:val="21"/>
          <w:szCs w:val="21"/>
        </w:rPr>
        <w:t>的</w:t>
      </w:r>
      <w:r>
        <w:rPr>
          <w:rFonts w:ascii="Times New Roman" w:cs="Times New Roman"/>
          <w:color w:val="000000"/>
          <w:sz w:val="21"/>
          <w:szCs w:val="21"/>
        </w:rPr>
        <w:t>原则</w:t>
      </w:r>
      <w:r>
        <w:rPr>
          <w:rFonts w:hint="eastAsia" w:ascii="Times New Roman" w:cs="Times New Roman"/>
          <w:color w:val="000000"/>
          <w:sz w:val="21"/>
          <w:szCs w:val="21"/>
        </w:rPr>
        <w:t>。</w:t>
      </w:r>
    </w:p>
    <w:p>
      <w:pPr>
        <w:pStyle w:val="5"/>
        <w:spacing w:before="0" w:beforeAutospacing="0" w:after="0" w:afterAutospacing="0" w:line="360" w:lineRule="auto"/>
        <w:rPr>
          <w:rFonts w:ascii="Times New Roman" w:hAnsi="Times New Roman" w:cs="Times New Roman"/>
          <w:color w:val="000000"/>
          <w:sz w:val="21"/>
          <w:szCs w:val="21"/>
        </w:rPr>
      </w:pPr>
      <w:r>
        <w:rPr>
          <w:rFonts w:hint="eastAsia" w:ascii="Times New Roman" w:hAnsi="Times New Roman" w:cs="Times New Roman"/>
          <w:color w:val="000000"/>
          <w:sz w:val="21"/>
          <w:szCs w:val="21"/>
        </w:rPr>
        <w:t>答：</w:t>
      </w:r>
      <w:r>
        <w:rPr>
          <w:rFonts w:ascii="Times New Roman" w:hAnsi="Times New Roman" w:cs="Times New Roman"/>
          <w:vanish/>
          <w:color w:val="000000"/>
          <w:sz w:val="21"/>
          <w:szCs w:val="21"/>
        </w:rPr>
        <w:t xml:space="preserve">     </w:t>
      </w:r>
      <w:r>
        <w:rPr>
          <w:rFonts w:ascii="Times New Roman" w:cs="Times New Roman"/>
          <w:color w:val="000000"/>
          <w:sz w:val="21"/>
          <w:szCs w:val="21"/>
        </w:rPr>
        <w:t>时间价值原则、风险</w:t>
      </w:r>
      <w:r>
        <w:rPr>
          <w:rFonts w:ascii="Times New Roman" w:hAnsi="Times New Roman" w:cs="Times New Roman"/>
          <w:color w:val="000000"/>
          <w:sz w:val="21"/>
          <w:szCs w:val="21"/>
        </w:rPr>
        <w:t>—</w:t>
      </w:r>
      <w:r>
        <w:rPr>
          <w:rFonts w:ascii="Times New Roman" w:cs="Times New Roman"/>
          <w:color w:val="000000"/>
          <w:sz w:val="21"/>
          <w:szCs w:val="21"/>
        </w:rPr>
        <w:t>报酬权衡原则、资本合理配置原则、平衡原则、谈性原则、利益关系协调原则、成本</w:t>
      </w:r>
      <w:r>
        <w:rPr>
          <w:rFonts w:ascii="Times New Roman" w:hAnsi="Times New Roman" w:cs="Times New Roman"/>
          <w:color w:val="000000"/>
          <w:sz w:val="21"/>
          <w:szCs w:val="21"/>
        </w:rPr>
        <w:t>—</w:t>
      </w:r>
      <w:r>
        <w:rPr>
          <w:rFonts w:ascii="Times New Roman" w:cs="Times New Roman"/>
          <w:color w:val="000000"/>
          <w:sz w:val="21"/>
          <w:szCs w:val="21"/>
        </w:rPr>
        <w:t>效益原则、投资分散化原则。</w:t>
      </w:r>
    </w:p>
    <w:p>
      <w:pPr>
        <w:pStyle w:val="5"/>
        <w:spacing w:before="0" w:beforeAutospacing="0" w:after="0" w:afterAutospacing="0" w:line="360" w:lineRule="auto"/>
        <w:rPr>
          <w:rFonts w:ascii="Times New Roman" w:hAnsi="Times New Roman" w:cs="Times New Roman"/>
          <w:color w:val="000000"/>
          <w:sz w:val="21"/>
          <w:szCs w:val="21"/>
        </w:rPr>
      </w:pPr>
    </w:p>
    <w:p>
      <w:pPr>
        <w:spacing w:line="360" w:lineRule="auto"/>
        <w:rPr>
          <w:b/>
          <w:color w:val="000000"/>
          <w:szCs w:val="21"/>
        </w:rPr>
      </w:pPr>
      <w:r>
        <w:rPr>
          <w:rFonts w:hAnsi="宋体"/>
          <w:b/>
          <w:color w:val="000000"/>
          <w:szCs w:val="21"/>
        </w:rPr>
        <w:t>六．计算题</w:t>
      </w:r>
    </w:p>
    <w:p>
      <w:pPr>
        <w:widowControl/>
        <w:spacing w:line="360" w:lineRule="auto"/>
        <w:jc w:val="left"/>
        <w:rPr>
          <w:color w:val="000000"/>
          <w:szCs w:val="21"/>
        </w:rPr>
      </w:pPr>
      <w:r>
        <w:rPr>
          <w:rFonts w:hint="eastAsia"/>
          <w:color w:val="000000"/>
          <w:szCs w:val="21"/>
        </w:rPr>
        <w:t>1.</w:t>
      </w:r>
    </w:p>
    <w:p>
      <w:pPr>
        <w:pStyle w:val="10"/>
        <w:widowControl/>
        <w:numPr>
          <w:ilvl w:val="0"/>
          <w:numId w:val="2"/>
        </w:numPr>
        <w:spacing w:line="360" w:lineRule="auto"/>
        <w:ind w:firstLineChars="0"/>
        <w:jc w:val="left"/>
        <w:rPr>
          <w:rFonts w:hint="eastAsia"/>
          <w:color w:val="000000"/>
          <w:szCs w:val="21"/>
        </w:rPr>
      </w:pPr>
      <w:r>
        <w:rPr>
          <w:rFonts w:hAnsi="宋体"/>
          <w:color w:val="000000"/>
          <w:szCs w:val="21"/>
        </w:rPr>
        <w:t>第</w:t>
      </w:r>
      <w:r>
        <w:rPr>
          <w:color w:val="000000"/>
          <w:szCs w:val="21"/>
        </w:rPr>
        <w:t>0</w:t>
      </w:r>
      <w:r>
        <w:rPr>
          <w:rFonts w:hAnsi="宋体"/>
          <w:color w:val="000000"/>
          <w:szCs w:val="21"/>
        </w:rPr>
        <w:t>年净现金流量（</w:t>
      </w:r>
      <w:r>
        <w:rPr>
          <w:color w:val="000000"/>
          <w:szCs w:val="21"/>
        </w:rPr>
        <w:t>NCF0</w:t>
      </w:r>
      <w:r>
        <w:rPr>
          <w:rFonts w:hAnsi="宋体"/>
          <w:color w:val="000000"/>
          <w:szCs w:val="21"/>
        </w:rPr>
        <w:t>）＝</w:t>
      </w:r>
      <w:r>
        <w:rPr>
          <w:color w:val="000000"/>
          <w:szCs w:val="21"/>
        </w:rPr>
        <w:t>-100</w:t>
      </w:r>
      <w:r>
        <w:rPr>
          <w:rFonts w:hAnsi="宋体"/>
          <w:color w:val="000000"/>
          <w:szCs w:val="21"/>
        </w:rPr>
        <w:t>（万元）</w:t>
      </w:r>
    </w:p>
    <w:p>
      <w:pPr>
        <w:pStyle w:val="10"/>
        <w:widowControl/>
        <w:spacing w:line="360" w:lineRule="auto"/>
        <w:ind w:left="720" w:firstLine="0" w:firstLineChars="0"/>
        <w:jc w:val="left"/>
        <w:rPr>
          <w:rFonts w:hint="eastAsia"/>
          <w:color w:val="000000"/>
          <w:szCs w:val="21"/>
        </w:rPr>
      </w:pPr>
      <w:r>
        <w:rPr>
          <w:rFonts w:hAnsi="宋体"/>
          <w:color w:val="000000"/>
          <w:szCs w:val="21"/>
        </w:rPr>
        <w:t>第</w:t>
      </w:r>
      <w:r>
        <w:rPr>
          <w:color w:val="000000"/>
          <w:szCs w:val="21"/>
        </w:rPr>
        <w:t>1</w:t>
      </w:r>
      <w:r>
        <w:rPr>
          <w:rFonts w:hAnsi="宋体"/>
          <w:color w:val="000000"/>
          <w:szCs w:val="21"/>
        </w:rPr>
        <w:t>年净现金流量（</w:t>
      </w:r>
      <w:r>
        <w:rPr>
          <w:color w:val="000000"/>
          <w:szCs w:val="21"/>
        </w:rPr>
        <w:t>NCF1</w:t>
      </w:r>
      <w:r>
        <w:rPr>
          <w:rFonts w:hAnsi="宋体"/>
          <w:color w:val="000000"/>
          <w:szCs w:val="21"/>
        </w:rPr>
        <w:t>）＝</w:t>
      </w:r>
      <w:r>
        <w:rPr>
          <w:color w:val="000000"/>
          <w:szCs w:val="21"/>
        </w:rPr>
        <w:t>0</w:t>
      </w:r>
      <w:r>
        <w:rPr>
          <w:rFonts w:hAnsi="宋体"/>
          <w:color w:val="000000"/>
          <w:szCs w:val="21"/>
        </w:rPr>
        <w:t>（万元）</w:t>
      </w:r>
    </w:p>
    <w:p>
      <w:pPr>
        <w:pStyle w:val="10"/>
        <w:widowControl/>
        <w:spacing w:line="360" w:lineRule="auto"/>
        <w:ind w:left="720" w:firstLine="0" w:firstLineChars="0"/>
        <w:jc w:val="left"/>
        <w:rPr>
          <w:rFonts w:hint="eastAsia"/>
          <w:color w:val="000000"/>
          <w:szCs w:val="21"/>
        </w:rPr>
      </w:pPr>
      <w:r>
        <w:rPr>
          <w:rFonts w:hAnsi="宋体"/>
          <w:color w:val="000000"/>
          <w:szCs w:val="21"/>
        </w:rPr>
        <w:t>经营期第</w:t>
      </w:r>
      <w:r>
        <w:rPr>
          <w:color w:val="000000"/>
          <w:szCs w:val="21"/>
        </w:rPr>
        <w:t>1</w:t>
      </w:r>
      <w:r>
        <w:rPr>
          <w:rFonts w:hAnsi="宋体"/>
          <w:color w:val="000000"/>
          <w:szCs w:val="21"/>
        </w:rPr>
        <w:t>年的折旧额＝</w:t>
      </w:r>
      <w:r>
        <w:rPr>
          <w:color w:val="000000"/>
          <w:szCs w:val="21"/>
        </w:rPr>
        <w:t>100×2/4</w:t>
      </w:r>
      <w:r>
        <w:rPr>
          <w:rFonts w:hAnsi="宋体"/>
          <w:color w:val="000000"/>
          <w:szCs w:val="21"/>
        </w:rPr>
        <w:t>＝</w:t>
      </w:r>
      <w:r>
        <w:rPr>
          <w:color w:val="000000"/>
          <w:szCs w:val="21"/>
        </w:rPr>
        <w:t>50</w:t>
      </w:r>
      <w:r>
        <w:rPr>
          <w:rFonts w:hAnsi="宋体"/>
          <w:color w:val="000000"/>
          <w:szCs w:val="21"/>
        </w:rPr>
        <w:t>（万元）</w:t>
      </w:r>
    </w:p>
    <w:p>
      <w:pPr>
        <w:pStyle w:val="10"/>
        <w:widowControl/>
        <w:spacing w:line="360" w:lineRule="auto"/>
        <w:ind w:left="720" w:firstLine="0" w:firstLineChars="0"/>
        <w:jc w:val="left"/>
        <w:rPr>
          <w:rFonts w:hint="eastAsia"/>
          <w:color w:val="000000"/>
          <w:szCs w:val="21"/>
        </w:rPr>
      </w:pPr>
      <w:r>
        <w:rPr>
          <w:rFonts w:hAnsi="宋体"/>
          <w:color w:val="000000"/>
          <w:szCs w:val="21"/>
        </w:rPr>
        <w:t>经营期第</w:t>
      </w:r>
      <w:r>
        <w:rPr>
          <w:color w:val="000000"/>
          <w:szCs w:val="21"/>
        </w:rPr>
        <w:t>2</w:t>
      </w:r>
      <w:r>
        <w:rPr>
          <w:rFonts w:hAnsi="宋体"/>
          <w:color w:val="000000"/>
          <w:szCs w:val="21"/>
        </w:rPr>
        <w:t>年的折旧额＝（</w:t>
      </w:r>
      <w:r>
        <w:rPr>
          <w:color w:val="000000"/>
          <w:szCs w:val="21"/>
        </w:rPr>
        <w:t>100-50</w:t>
      </w:r>
      <w:r>
        <w:rPr>
          <w:rFonts w:hAnsi="宋体"/>
          <w:color w:val="000000"/>
          <w:szCs w:val="21"/>
        </w:rPr>
        <w:t>）</w:t>
      </w:r>
      <w:r>
        <w:rPr>
          <w:color w:val="000000"/>
          <w:szCs w:val="21"/>
        </w:rPr>
        <w:t>×2/4</w:t>
      </w:r>
      <w:r>
        <w:rPr>
          <w:rFonts w:hAnsi="宋体"/>
          <w:color w:val="000000"/>
          <w:szCs w:val="21"/>
        </w:rPr>
        <w:t>＝</w:t>
      </w:r>
      <w:r>
        <w:rPr>
          <w:color w:val="000000"/>
          <w:szCs w:val="21"/>
        </w:rPr>
        <w:t>25</w:t>
      </w:r>
      <w:r>
        <w:rPr>
          <w:rFonts w:hAnsi="宋体"/>
          <w:color w:val="000000"/>
          <w:szCs w:val="21"/>
        </w:rPr>
        <w:t>（万元）</w:t>
      </w:r>
    </w:p>
    <w:p>
      <w:pPr>
        <w:pStyle w:val="10"/>
        <w:widowControl/>
        <w:spacing w:line="360" w:lineRule="auto"/>
        <w:ind w:left="720" w:firstLine="0" w:firstLineChars="0"/>
        <w:jc w:val="left"/>
        <w:rPr>
          <w:rFonts w:hint="eastAsia"/>
          <w:color w:val="000000"/>
          <w:szCs w:val="21"/>
        </w:rPr>
      </w:pPr>
      <w:r>
        <w:rPr>
          <w:rFonts w:hAnsi="宋体"/>
          <w:color w:val="000000"/>
          <w:szCs w:val="21"/>
        </w:rPr>
        <w:t>经营期第</w:t>
      </w:r>
      <w:r>
        <w:rPr>
          <w:color w:val="000000"/>
          <w:szCs w:val="21"/>
        </w:rPr>
        <w:t>3</w:t>
      </w:r>
      <w:r>
        <w:rPr>
          <w:rFonts w:hAnsi="宋体"/>
          <w:color w:val="000000"/>
          <w:szCs w:val="21"/>
        </w:rPr>
        <w:t>年的折旧额＝（</w:t>
      </w:r>
      <w:r>
        <w:rPr>
          <w:color w:val="000000"/>
          <w:szCs w:val="21"/>
        </w:rPr>
        <w:t>100-50-25-5</w:t>
      </w:r>
      <w:r>
        <w:rPr>
          <w:rFonts w:hAnsi="宋体"/>
          <w:color w:val="000000"/>
          <w:szCs w:val="21"/>
        </w:rPr>
        <w:t>）</w:t>
      </w:r>
      <w:r>
        <w:rPr>
          <w:color w:val="000000"/>
          <w:szCs w:val="21"/>
        </w:rPr>
        <w:t>/2</w:t>
      </w:r>
      <w:r>
        <w:rPr>
          <w:rFonts w:hAnsi="宋体"/>
          <w:color w:val="000000"/>
          <w:szCs w:val="21"/>
        </w:rPr>
        <w:t>＝</w:t>
      </w:r>
      <w:r>
        <w:rPr>
          <w:color w:val="000000"/>
          <w:szCs w:val="21"/>
        </w:rPr>
        <w:t>10</w:t>
      </w:r>
      <w:r>
        <w:rPr>
          <w:rFonts w:hAnsi="宋体"/>
          <w:color w:val="000000"/>
          <w:szCs w:val="21"/>
        </w:rPr>
        <w:t>（万元）</w:t>
      </w:r>
    </w:p>
    <w:p>
      <w:pPr>
        <w:pStyle w:val="10"/>
        <w:widowControl/>
        <w:spacing w:line="360" w:lineRule="auto"/>
        <w:ind w:left="720" w:firstLine="0" w:firstLineChars="0"/>
        <w:jc w:val="left"/>
        <w:rPr>
          <w:rFonts w:hint="eastAsia"/>
          <w:color w:val="000000"/>
          <w:szCs w:val="21"/>
        </w:rPr>
      </w:pPr>
      <w:r>
        <w:rPr>
          <w:rFonts w:hAnsi="宋体"/>
          <w:color w:val="000000"/>
          <w:szCs w:val="21"/>
        </w:rPr>
        <w:t>经营期第</w:t>
      </w:r>
      <w:r>
        <w:rPr>
          <w:color w:val="000000"/>
          <w:szCs w:val="21"/>
        </w:rPr>
        <w:t>4</w:t>
      </w:r>
      <w:r>
        <w:rPr>
          <w:rFonts w:hAnsi="宋体"/>
          <w:color w:val="000000"/>
          <w:szCs w:val="21"/>
        </w:rPr>
        <w:t>年的折旧额＝（</w:t>
      </w:r>
      <w:r>
        <w:rPr>
          <w:color w:val="000000"/>
          <w:szCs w:val="21"/>
        </w:rPr>
        <w:t>100-50-25-5</w:t>
      </w:r>
      <w:r>
        <w:rPr>
          <w:rFonts w:hAnsi="宋体"/>
          <w:color w:val="000000"/>
          <w:szCs w:val="21"/>
        </w:rPr>
        <w:t>）</w:t>
      </w:r>
      <w:r>
        <w:rPr>
          <w:color w:val="000000"/>
          <w:szCs w:val="21"/>
        </w:rPr>
        <w:t>/2</w:t>
      </w:r>
      <w:r>
        <w:rPr>
          <w:rFonts w:hAnsi="宋体"/>
          <w:color w:val="000000"/>
          <w:szCs w:val="21"/>
        </w:rPr>
        <w:t>＝</w:t>
      </w:r>
      <w:r>
        <w:rPr>
          <w:color w:val="000000"/>
          <w:szCs w:val="21"/>
        </w:rPr>
        <w:t>10</w:t>
      </w:r>
      <w:r>
        <w:rPr>
          <w:rFonts w:hAnsi="宋体"/>
          <w:color w:val="000000"/>
          <w:szCs w:val="21"/>
        </w:rPr>
        <w:t>（万元）</w:t>
      </w:r>
    </w:p>
    <w:p>
      <w:pPr>
        <w:pStyle w:val="10"/>
        <w:widowControl/>
        <w:spacing w:line="360" w:lineRule="auto"/>
        <w:ind w:left="720" w:firstLine="0" w:firstLineChars="0"/>
        <w:jc w:val="left"/>
        <w:rPr>
          <w:rFonts w:hint="eastAsia"/>
          <w:color w:val="000000"/>
          <w:szCs w:val="21"/>
        </w:rPr>
      </w:pPr>
      <w:r>
        <w:rPr>
          <w:rFonts w:hAnsi="宋体"/>
          <w:color w:val="000000"/>
          <w:szCs w:val="21"/>
        </w:rPr>
        <w:t>经营期第</w:t>
      </w:r>
      <w:r>
        <w:rPr>
          <w:color w:val="000000"/>
          <w:szCs w:val="21"/>
        </w:rPr>
        <w:t>1</w:t>
      </w:r>
      <w:r>
        <w:rPr>
          <w:rFonts w:hAnsi="宋体"/>
          <w:color w:val="000000"/>
          <w:szCs w:val="21"/>
        </w:rPr>
        <w:t>年的净现金流量（</w:t>
      </w:r>
      <w:r>
        <w:rPr>
          <w:color w:val="000000"/>
          <w:szCs w:val="21"/>
        </w:rPr>
        <w:t>NCF2</w:t>
      </w:r>
      <w:r>
        <w:rPr>
          <w:rFonts w:hAnsi="宋体"/>
          <w:color w:val="000000"/>
          <w:szCs w:val="21"/>
        </w:rPr>
        <w:t>）＝</w:t>
      </w:r>
      <w:r>
        <w:rPr>
          <w:color w:val="000000"/>
          <w:szCs w:val="21"/>
        </w:rPr>
        <w:t>30</w:t>
      </w:r>
      <w:r>
        <w:rPr>
          <w:rFonts w:hAnsi="宋体"/>
          <w:color w:val="000000"/>
          <w:szCs w:val="21"/>
        </w:rPr>
        <w:t>＋</w:t>
      </w:r>
      <w:r>
        <w:rPr>
          <w:color w:val="000000"/>
          <w:szCs w:val="21"/>
        </w:rPr>
        <w:t>50</w:t>
      </w:r>
      <w:r>
        <w:rPr>
          <w:rFonts w:hAnsi="宋体"/>
          <w:color w:val="000000"/>
          <w:szCs w:val="21"/>
        </w:rPr>
        <w:t>＝</w:t>
      </w:r>
      <w:r>
        <w:rPr>
          <w:color w:val="000000"/>
          <w:szCs w:val="21"/>
        </w:rPr>
        <w:t>80</w:t>
      </w:r>
      <w:r>
        <w:rPr>
          <w:rFonts w:hAnsi="宋体"/>
          <w:color w:val="000000"/>
          <w:szCs w:val="21"/>
        </w:rPr>
        <w:t>（万元）</w:t>
      </w:r>
    </w:p>
    <w:p>
      <w:pPr>
        <w:pStyle w:val="10"/>
        <w:widowControl/>
        <w:spacing w:line="360" w:lineRule="auto"/>
        <w:ind w:left="720" w:firstLine="0" w:firstLineChars="0"/>
        <w:jc w:val="left"/>
        <w:rPr>
          <w:rFonts w:hint="eastAsia"/>
          <w:color w:val="000000"/>
          <w:szCs w:val="21"/>
        </w:rPr>
      </w:pPr>
      <w:r>
        <w:rPr>
          <w:rFonts w:hAnsi="宋体"/>
          <w:color w:val="000000"/>
          <w:szCs w:val="21"/>
        </w:rPr>
        <w:t>经营期第</w:t>
      </w:r>
      <w:r>
        <w:rPr>
          <w:color w:val="000000"/>
          <w:szCs w:val="21"/>
        </w:rPr>
        <w:t>2</w:t>
      </w:r>
      <w:r>
        <w:rPr>
          <w:rFonts w:hAnsi="宋体"/>
          <w:color w:val="000000"/>
          <w:szCs w:val="21"/>
        </w:rPr>
        <w:t>年的净现金流量（</w:t>
      </w:r>
      <w:r>
        <w:rPr>
          <w:color w:val="000000"/>
          <w:szCs w:val="21"/>
        </w:rPr>
        <w:t>NCF3</w:t>
      </w:r>
      <w:r>
        <w:rPr>
          <w:rFonts w:hAnsi="宋体"/>
          <w:color w:val="000000"/>
          <w:szCs w:val="21"/>
        </w:rPr>
        <w:t>）＝</w:t>
      </w:r>
      <w:r>
        <w:rPr>
          <w:color w:val="000000"/>
          <w:szCs w:val="21"/>
        </w:rPr>
        <w:t>30</w:t>
      </w:r>
      <w:r>
        <w:rPr>
          <w:rFonts w:hAnsi="宋体"/>
          <w:color w:val="000000"/>
          <w:szCs w:val="21"/>
        </w:rPr>
        <w:t>＋</w:t>
      </w:r>
      <w:r>
        <w:rPr>
          <w:color w:val="000000"/>
          <w:szCs w:val="21"/>
        </w:rPr>
        <w:t>25</w:t>
      </w:r>
      <w:r>
        <w:rPr>
          <w:rFonts w:hAnsi="宋体"/>
          <w:color w:val="000000"/>
          <w:szCs w:val="21"/>
        </w:rPr>
        <w:t>＝</w:t>
      </w:r>
      <w:r>
        <w:rPr>
          <w:color w:val="000000"/>
          <w:szCs w:val="21"/>
        </w:rPr>
        <w:t>55</w:t>
      </w:r>
      <w:r>
        <w:rPr>
          <w:rFonts w:hAnsi="宋体"/>
          <w:color w:val="000000"/>
          <w:szCs w:val="21"/>
        </w:rPr>
        <w:t>（万元）</w:t>
      </w:r>
    </w:p>
    <w:p>
      <w:pPr>
        <w:pStyle w:val="10"/>
        <w:widowControl/>
        <w:spacing w:line="360" w:lineRule="auto"/>
        <w:ind w:left="720" w:firstLine="0" w:firstLineChars="0"/>
        <w:jc w:val="left"/>
        <w:rPr>
          <w:rFonts w:hint="eastAsia"/>
          <w:color w:val="000000"/>
          <w:szCs w:val="21"/>
        </w:rPr>
      </w:pPr>
      <w:r>
        <w:rPr>
          <w:rFonts w:hAnsi="宋体"/>
          <w:color w:val="000000"/>
          <w:szCs w:val="21"/>
        </w:rPr>
        <w:t>经营期第</w:t>
      </w:r>
      <w:r>
        <w:rPr>
          <w:color w:val="000000"/>
          <w:szCs w:val="21"/>
        </w:rPr>
        <w:t>3</w:t>
      </w:r>
      <w:r>
        <w:rPr>
          <w:rFonts w:hAnsi="宋体"/>
          <w:color w:val="000000"/>
          <w:szCs w:val="21"/>
        </w:rPr>
        <w:t>年的净现金流量（</w:t>
      </w:r>
      <w:r>
        <w:rPr>
          <w:color w:val="000000"/>
          <w:szCs w:val="21"/>
        </w:rPr>
        <w:t>NCF4</w:t>
      </w:r>
      <w:r>
        <w:rPr>
          <w:rFonts w:hAnsi="宋体"/>
          <w:color w:val="000000"/>
          <w:szCs w:val="21"/>
        </w:rPr>
        <w:t>）＝</w:t>
      </w:r>
      <w:r>
        <w:rPr>
          <w:color w:val="000000"/>
          <w:szCs w:val="21"/>
        </w:rPr>
        <w:t>30</w:t>
      </w:r>
      <w:r>
        <w:rPr>
          <w:rFonts w:hAnsi="宋体"/>
          <w:color w:val="000000"/>
          <w:szCs w:val="21"/>
        </w:rPr>
        <w:t>＋</w:t>
      </w:r>
      <w:r>
        <w:rPr>
          <w:color w:val="000000"/>
          <w:szCs w:val="21"/>
        </w:rPr>
        <w:t>10</w:t>
      </w:r>
      <w:r>
        <w:rPr>
          <w:rFonts w:hAnsi="宋体"/>
          <w:color w:val="000000"/>
          <w:szCs w:val="21"/>
        </w:rPr>
        <w:t>＝</w:t>
      </w:r>
      <w:r>
        <w:rPr>
          <w:color w:val="000000"/>
          <w:szCs w:val="21"/>
        </w:rPr>
        <w:t>40</w:t>
      </w:r>
      <w:r>
        <w:rPr>
          <w:rFonts w:hAnsi="宋体"/>
          <w:color w:val="000000"/>
          <w:szCs w:val="21"/>
        </w:rPr>
        <w:t>（万元）</w:t>
      </w:r>
    </w:p>
    <w:p>
      <w:pPr>
        <w:widowControl/>
        <w:spacing w:line="360" w:lineRule="auto"/>
        <w:ind w:firstLine="735" w:firstLineChars="350"/>
        <w:jc w:val="left"/>
        <w:rPr>
          <w:color w:val="000000"/>
          <w:szCs w:val="21"/>
        </w:rPr>
      </w:pPr>
      <w:r>
        <w:rPr>
          <w:rFonts w:hAnsi="宋体"/>
          <w:color w:val="000000"/>
          <w:szCs w:val="21"/>
        </w:rPr>
        <w:t>经营期第</w:t>
      </w:r>
      <w:r>
        <w:rPr>
          <w:color w:val="000000"/>
          <w:szCs w:val="21"/>
        </w:rPr>
        <w:t>4</w:t>
      </w:r>
      <w:r>
        <w:rPr>
          <w:rFonts w:hAnsi="宋体"/>
          <w:color w:val="000000"/>
          <w:szCs w:val="21"/>
        </w:rPr>
        <w:t>年的净现金流量（</w:t>
      </w:r>
      <w:r>
        <w:rPr>
          <w:color w:val="000000"/>
          <w:szCs w:val="21"/>
        </w:rPr>
        <w:t>NCF5</w:t>
      </w:r>
      <w:r>
        <w:rPr>
          <w:rFonts w:hAnsi="宋体"/>
          <w:color w:val="000000"/>
          <w:szCs w:val="21"/>
        </w:rPr>
        <w:t>）＝</w:t>
      </w:r>
      <w:r>
        <w:rPr>
          <w:color w:val="000000"/>
          <w:szCs w:val="21"/>
        </w:rPr>
        <w:t>30</w:t>
      </w:r>
      <w:r>
        <w:rPr>
          <w:rFonts w:hAnsi="宋体"/>
          <w:color w:val="000000"/>
          <w:szCs w:val="21"/>
        </w:rPr>
        <w:t>＋</w:t>
      </w:r>
      <w:r>
        <w:rPr>
          <w:color w:val="000000"/>
          <w:szCs w:val="21"/>
        </w:rPr>
        <w:t>10</w:t>
      </w:r>
      <w:r>
        <w:rPr>
          <w:rFonts w:hAnsi="宋体"/>
          <w:color w:val="000000"/>
          <w:szCs w:val="21"/>
        </w:rPr>
        <w:t>＋</w:t>
      </w:r>
      <w:r>
        <w:rPr>
          <w:color w:val="000000"/>
          <w:szCs w:val="21"/>
        </w:rPr>
        <w:t>5</w:t>
      </w:r>
      <w:r>
        <w:rPr>
          <w:rFonts w:hAnsi="宋体"/>
          <w:color w:val="000000"/>
          <w:szCs w:val="21"/>
        </w:rPr>
        <w:t>＝</w:t>
      </w:r>
      <w:r>
        <w:rPr>
          <w:color w:val="000000"/>
          <w:szCs w:val="21"/>
        </w:rPr>
        <w:t>42</w:t>
      </w:r>
      <w:r>
        <w:rPr>
          <w:rFonts w:hAnsi="宋体"/>
          <w:color w:val="000000"/>
          <w:szCs w:val="21"/>
        </w:rPr>
        <w:t>（万元）</w:t>
      </w:r>
    </w:p>
    <w:p>
      <w:pPr>
        <w:widowControl/>
        <w:spacing w:line="360" w:lineRule="auto"/>
        <w:jc w:val="left"/>
        <w:rPr>
          <w:color w:val="000000"/>
          <w:szCs w:val="21"/>
        </w:rPr>
      </w:pPr>
      <w:r>
        <w:rPr>
          <w:rFonts w:hAnsi="宋体"/>
          <w:color w:val="000000"/>
          <w:szCs w:val="21"/>
        </w:rPr>
        <w:t>（</w:t>
      </w:r>
      <w:r>
        <w:rPr>
          <w:color w:val="000000"/>
          <w:szCs w:val="21"/>
        </w:rPr>
        <w:t>2</w:t>
      </w:r>
      <w:r>
        <w:rPr>
          <w:rFonts w:hAnsi="宋体"/>
          <w:color w:val="000000"/>
          <w:szCs w:val="21"/>
        </w:rPr>
        <w:t>）净现值＝</w:t>
      </w:r>
      <w:r>
        <w:rPr>
          <w:color w:val="000000"/>
          <w:szCs w:val="21"/>
        </w:rPr>
        <w:t>-100</w:t>
      </w:r>
      <w:r>
        <w:rPr>
          <w:rFonts w:hAnsi="宋体"/>
          <w:color w:val="000000"/>
          <w:szCs w:val="21"/>
        </w:rPr>
        <w:t>＋</w:t>
      </w:r>
      <w:r>
        <w:rPr>
          <w:color w:val="000000"/>
          <w:szCs w:val="21"/>
        </w:rPr>
        <w:t>80×</w:t>
      </w:r>
      <w:r>
        <w:rPr>
          <w:rFonts w:hAnsi="宋体"/>
          <w:color w:val="000000"/>
          <w:szCs w:val="21"/>
        </w:rPr>
        <w:t>（</w:t>
      </w:r>
      <w:r>
        <w:rPr>
          <w:color w:val="000000"/>
          <w:szCs w:val="21"/>
        </w:rPr>
        <w:t>P/F</w:t>
      </w:r>
      <w:r>
        <w:rPr>
          <w:rFonts w:hAnsi="宋体"/>
          <w:color w:val="000000"/>
          <w:szCs w:val="21"/>
        </w:rPr>
        <w:t>，</w:t>
      </w:r>
      <w:r>
        <w:rPr>
          <w:color w:val="000000"/>
          <w:szCs w:val="21"/>
        </w:rPr>
        <w:t>10%</w:t>
      </w:r>
      <w:r>
        <w:rPr>
          <w:rFonts w:hAnsi="宋体"/>
          <w:color w:val="000000"/>
          <w:szCs w:val="21"/>
        </w:rPr>
        <w:t>，</w:t>
      </w:r>
      <w:r>
        <w:rPr>
          <w:color w:val="000000"/>
          <w:szCs w:val="21"/>
        </w:rPr>
        <w:t>2</w:t>
      </w:r>
      <w:r>
        <w:rPr>
          <w:rFonts w:hAnsi="宋体"/>
          <w:color w:val="000000"/>
          <w:szCs w:val="21"/>
        </w:rPr>
        <w:t>）＋</w:t>
      </w:r>
      <w:r>
        <w:rPr>
          <w:color w:val="000000"/>
          <w:szCs w:val="21"/>
        </w:rPr>
        <w:t>55×</w:t>
      </w:r>
      <w:r>
        <w:rPr>
          <w:rFonts w:hAnsi="宋体"/>
          <w:color w:val="000000"/>
          <w:szCs w:val="21"/>
        </w:rPr>
        <w:t>（</w:t>
      </w:r>
      <w:r>
        <w:rPr>
          <w:color w:val="000000"/>
          <w:szCs w:val="21"/>
        </w:rPr>
        <w:t>P/F</w:t>
      </w:r>
      <w:r>
        <w:rPr>
          <w:rFonts w:hAnsi="宋体"/>
          <w:color w:val="000000"/>
          <w:szCs w:val="21"/>
        </w:rPr>
        <w:t>，</w:t>
      </w:r>
      <w:r>
        <w:rPr>
          <w:color w:val="000000"/>
          <w:szCs w:val="21"/>
        </w:rPr>
        <w:t>10%</w:t>
      </w:r>
      <w:r>
        <w:rPr>
          <w:rFonts w:hAnsi="宋体"/>
          <w:color w:val="000000"/>
          <w:szCs w:val="21"/>
        </w:rPr>
        <w:t>，</w:t>
      </w:r>
      <w:r>
        <w:rPr>
          <w:color w:val="000000"/>
          <w:szCs w:val="21"/>
        </w:rPr>
        <w:t>3</w:t>
      </w:r>
      <w:r>
        <w:rPr>
          <w:rFonts w:hAnsi="宋体"/>
          <w:color w:val="000000"/>
          <w:szCs w:val="21"/>
        </w:rPr>
        <w:t>）＋</w:t>
      </w:r>
      <w:r>
        <w:rPr>
          <w:color w:val="000000"/>
          <w:szCs w:val="21"/>
        </w:rPr>
        <w:t>40×</w:t>
      </w:r>
      <w:r>
        <w:rPr>
          <w:rFonts w:hAnsi="宋体"/>
          <w:color w:val="000000"/>
          <w:szCs w:val="21"/>
        </w:rPr>
        <w:t>（</w:t>
      </w:r>
      <w:r>
        <w:rPr>
          <w:color w:val="000000"/>
          <w:szCs w:val="21"/>
        </w:rPr>
        <w:t>P/F</w:t>
      </w:r>
      <w:r>
        <w:rPr>
          <w:rFonts w:hAnsi="宋体"/>
          <w:color w:val="000000"/>
          <w:szCs w:val="21"/>
        </w:rPr>
        <w:t>，</w:t>
      </w:r>
      <w:r>
        <w:rPr>
          <w:color w:val="000000"/>
          <w:szCs w:val="21"/>
        </w:rPr>
        <w:t>10%</w:t>
      </w:r>
      <w:r>
        <w:rPr>
          <w:rFonts w:hAnsi="宋体"/>
          <w:color w:val="000000"/>
          <w:szCs w:val="21"/>
        </w:rPr>
        <w:t>，</w:t>
      </w:r>
      <w:r>
        <w:rPr>
          <w:color w:val="000000"/>
          <w:szCs w:val="21"/>
        </w:rPr>
        <w:t>4</w:t>
      </w:r>
      <w:r>
        <w:rPr>
          <w:rFonts w:hAnsi="宋体"/>
          <w:color w:val="000000"/>
          <w:szCs w:val="21"/>
        </w:rPr>
        <w:t>）＋</w:t>
      </w:r>
      <w:r>
        <w:rPr>
          <w:color w:val="000000"/>
          <w:szCs w:val="21"/>
        </w:rPr>
        <w:t>42×</w:t>
      </w:r>
      <w:r>
        <w:rPr>
          <w:rFonts w:hAnsi="宋体"/>
          <w:color w:val="000000"/>
          <w:szCs w:val="21"/>
        </w:rPr>
        <w:t>（</w:t>
      </w:r>
      <w:r>
        <w:rPr>
          <w:color w:val="000000"/>
          <w:szCs w:val="21"/>
        </w:rPr>
        <w:t>P/F</w:t>
      </w:r>
      <w:r>
        <w:rPr>
          <w:rFonts w:hAnsi="宋体"/>
          <w:color w:val="000000"/>
          <w:szCs w:val="21"/>
        </w:rPr>
        <w:t>，</w:t>
      </w:r>
      <w:r>
        <w:rPr>
          <w:color w:val="000000"/>
          <w:szCs w:val="21"/>
        </w:rPr>
        <w:t>10%</w:t>
      </w:r>
      <w:r>
        <w:rPr>
          <w:rFonts w:hAnsi="宋体"/>
          <w:color w:val="000000"/>
          <w:szCs w:val="21"/>
        </w:rPr>
        <w:t>，</w:t>
      </w:r>
      <w:r>
        <w:rPr>
          <w:color w:val="000000"/>
          <w:szCs w:val="21"/>
        </w:rPr>
        <w:t>5</w:t>
      </w:r>
      <w:r>
        <w:rPr>
          <w:rFonts w:hAnsi="宋体"/>
          <w:color w:val="000000"/>
          <w:szCs w:val="21"/>
        </w:rPr>
        <w:t>）＝</w:t>
      </w:r>
      <w:r>
        <w:rPr>
          <w:color w:val="000000"/>
          <w:szCs w:val="21"/>
        </w:rPr>
        <w:t>-100</w:t>
      </w:r>
      <w:r>
        <w:rPr>
          <w:rFonts w:hAnsi="宋体"/>
          <w:color w:val="000000"/>
          <w:szCs w:val="21"/>
        </w:rPr>
        <w:t>＋</w:t>
      </w:r>
      <w:r>
        <w:rPr>
          <w:color w:val="000000"/>
          <w:szCs w:val="21"/>
        </w:rPr>
        <w:t>66.112</w:t>
      </w:r>
      <w:r>
        <w:rPr>
          <w:rFonts w:hAnsi="宋体"/>
          <w:color w:val="000000"/>
          <w:szCs w:val="21"/>
        </w:rPr>
        <w:t>＋</w:t>
      </w:r>
      <w:r>
        <w:rPr>
          <w:color w:val="000000"/>
          <w:szCs w:val="21"/>
        </w:rPr>
        <w:t>41.3215</w:t>
      </w:r>
      <w:r>
        <w:rPr>
          <w:rFonts w:hAnsi="宋体"/>
          <w:color w:val="000000"/>
          <w:szCs w:val="21"/>
        </w:rPr>
        <w:t>＋</w:t>
      </w:r>
      <w:r>
        <w:rPr>
          <w:color w:val="000000"/>
          <w:szCs w:val="21"/>
        </w:rPr>
        <w:t>27.32</w:t>
      </w:r>
      <w:r>
        <w:rPr>
          <w:rFonts w:hAnsi="宋体"/>
          <w:color w:val="000000"/>
          <w:szCs w:val="21"/>
        </w:rPr>
        <w:t>＋</w:t>
      </w:r>
      <w:r>
        <w:rPr>
          <w:color w:val="000000"/>
          <w:szCs w:val="21"/>
        </w:rPr>
        <w:t>26.0778</w:t>
      </w:r>
      <w:r>
        <w:rPr>
          <w:rFonts w:hAnsi="宋体"/>
          <w:color w:val="000000"/>
          <w:szCs w:val="21"/>
        </w:rPr>
        <w:t>＝</w:t>
      </w:r>
      <w:r>
        <w:rPr>
          <w:color w:val="000000"/>
          <w:szCs w:val="21"/>
        </w:rPr>
        <w:t>60.83</w:t>
      </w:r>
      <w:r>
        <w:rPr>
          <w:rFonts w:hAnsi="宋体"/>
          <w:color w:val="000000"/>
          <w:szCs w:val="21"/>
        </w:rPr>
        <w:t>（万元）</w:t>
      </w:r>
    </w:p>
    <w:p>
      <w:pPr>
        <w:widowControl/>
        <w:spacing w:line="360" w:lineRule="auto"/>
        <w:ind w:firstLine="525" w:firstLineChars="250"/>
        <w:jc w:val="left"/>
        <w:rPr>
          <w:color w:val="000000"/>
          <w:szCs w:val="21"/>
        </w:rPr>
      </w:pPr>
      <w:r>
        <w:rPr>
          <w:rFonts w:hAnsi="宋体"/>
          <w:color w:val="000000"/>
          <w:szCs w:val="21"/>
        </w:rPr>
        <w:t>净现值率＝</w:t>
      </w:r>
      <w:r>
        <w:rPr>
          <w:color w:val="000000"/>
          <w:szCs w:val="21"/>
        </w:rPr>
        <w:t>[80×</w:t>
      </w:r>
      <w:r>
        <w:rPr>
          <w:rFonts w:hAnsi="宋体"/>
          <w:color w:val="000000"/>
          <w:szCs w:val="21"/>
        </w:rPr>
        <w:t>（</w:t>
      </w:r>
      <w:r>
        <w:rPr>
          <w:color w:val="000000"/>
          <w:szCs w:val="21"/>
        </w:rPr>
        <w:t>P/F</w:t>
      </w:r>
      <w:r>
        <w:rPr>
          <w:rFonts w:hAnsi="宋体"/>
          <w:color w:val="000000"/>
          <w:szCs w:val="21"/>
        </w:rPr>
        <w:t>，</w:t>
      </w:r>
      <w:r>
        <w:rPr>
          <w:color w:val="000000"/>
          <w:szCs w:val="21"/>
        </w:rPr>
        <w:t>10%</w:t>
      </w:r>
      <w:r>
        <w:rPr>
          <w:rFonts w:hAnsi="宋体"/>
          <w:color w:val="000000"/>
          <w:szCs w:val="21"/>
        </w:rPr>
        <w:t>，</w:t>
      </w:r>
      <w:r>
        <w:rPr>
          <w:color w:val="000000"/>
          <w:szCs w:val="21"/>
        </w:rPr>
        <w:t>2</w:t>
      </w:r>
      <w:r>
        <w:rPr>
          <w:rFonts w:hAnsi="宋体"/>
          <w:color w:val="000000"/>
          <w:szCs w:val="21"/>
        </w:rPr>
        <w:t>）＋</w:t>
      </w:r>
      <w:r>
        <w:rPr>
          <w:color w:val="000000"/>
          <w:szCs w:val="21"/>
        </w:rPr>
        <w:t>55×</w:t>
      </w:r>
      <w:r>
        <w:rPr>
          <w:rFonts w:hAnsi="宋体"/>
          <w:color w:val="000000"/>
          <w:szCs w:val="21"/>
        </w:rPr>
        <w:t>（</w:t>
      </w:r>
      <w:r>
        <w:rPr>
          <w:color w:val="000000"/>
          <w:szCs w:val="21"/>
        </w:rPr>
        <w:t>P/F</w:t>
      </w:r>
      <w:r>
        <w:rPr>
          <w:rFonts w:hAnsi="宋体"/>
          <w:color w:val="000000"/>
          <w:szCs w:val="21"/>
        </w:rPr>
        <w:t>，</w:t>
      </w:r>
      <w:r>
        <w:rPr>
          <w:color w:val="000000"/>
          <w:szCs w:val="21"/>
        </w:rPr>
        <w:t>10%</w:t>
      </w:r>
      <w:r>
        <w:rPr>
          <w:rFonts w:hAnsi="宋体"/>
          <w:color w:val="000000"/>
          <w:szCs w:val="21"/>
        </w:rPr>
        <w:t>，</w:t>
      </w:r>
      <w:r>
        <w:rPr>
          <w:color w:val="000000"/>
          <w:szCs w:val="21"/>
        </w:rPr>
        <w:t>3</w:t>
      </w:r>
      <w:r>
        <w:rPr>
          <w:rFonts w:hAnsi="宋体"/>
          <w:color w:val="000000"/>
          <w:szCs w:val="21"/>
        </w:rPr>
        <w:t>）＋</w:t>
      </w:r>
      <w:r>
        <w:rPr>
          <w:color w:val="000000"/>
          <w:szCs w:val="21"/>
        </w:rPr>
        <w:t>40×</w:t>
      </w:r>
      <w:r>
        <w:rPr>
          <w:rFonts w:hAnsi="宋体"/>
          <w:color w:val="000000"/>
          <w:szCs w:val="21"/>
        </w:rPr>
        <w:t>（</w:t>
      </w:r>
      <w:r>
        <w:rPr>
          <w:color w:val="000000"/>
          <w:szCs w:val="21"/>
        </w:rPr>
        <w:t>P/F</w:t>
      </w:r>
      <w:r>
        <w:rPr>
          <w:rFonts w:hAnsi="宋体"/>
          <w:color w:val="000000"/>
          <w:szCs w:val="21"/>
        </w:rPr>
        <w:t>，</w:t>
      </w:r>
      <w:r>
        <w:rPr>
          <w:color w:val="000000"/>
          <w:szCs w:val="21"/>
        </w:rPr>
        <w:t>10%</w:t>
      </w:r>
      <w:r>
        <w:rPr>
          <w:rFonts w:hAnsi="宋体"/>
          <w:color w:val="000000"/>
          <w:szCs w:val="21"/>
        </w:rPr>
        <w:t>，</w:t>
      </w:r>
      <w:r>
        <w:rPr>
          <w:color w:val="000000"/>
          <w:szCs w:val="21"/>
        </w:rPr>
        <w:t>4</w:t>
      </w:r>
      <w:r>
        <w:rPr>
          <w:rFonts w:hAnsi="宋体"/>
          <w:color w:val="000000"/>
          <w:szCs w:val="21"/>
        </w:rPr>
        <w:t>）＋</w:t>
      </w:r>
      <w:r>
        <w:rPr>
          <w:color w:val="000000"/>
          <w:szCs w:val="21"/>
        </w:rPr>
        <w:t>42×</w:t>
      </w:r>
      <w:r>
        <w:rPr>
          <w:rFonts w:hAnsi="宋体"/>
          <w:color w:val="000000"/>
          <w:szCs w:val="21"/>
        </w:rPr>
        <w:t>（</w:t>
      </w:r>
      <w:r>
        <w:rPr>
          <w:color w:val="000000"/>
          <w:szCs w:val="21"/>
        </w:rPr>
        <w:t>P/F</w:t>
      </w:r>
      <w:r>
        <w:rPr>
          <w:rFonts w:hAnsi="宋体"/>
          <w:color w:val="000000"/>
          <w:szCs w:val="21"/>
        </w:rPr>
        <w:t>，</w:t>
      </w:r>
      <w:r>
        <w:rPr>
          <w:color w:val="000000"/>
          <w:szCs w:val="21"/>
        </w:rPr>
        <w:t>10%</w:t>
      </w:r>
      <w:r>
        <w:rPr>
          <w:rFonts w:hAnsi="宋体"/>
          <w:color w:val="000000"/>
          <w:szCs w:val="21"/>
        </w:rPr>
        <w:t>，</w:t>
      </w:r>
      <w:r>
        <w:rPr>
          <w:color w:val="000000"/>
          <w:szCs w:val="21"/>
        </w:rPr>
        <w:t>5</w:t>
      </w:r>
      <w:r>
        <w:rPr>
          <w:rFonts w:hAnsi="宋体"/>
          <w:color w:val="000000"/>
          <w:szCs w:val="21"/>
        </w:rPr>
        <w:t>）</w:t>
      </w:r>
      <w:r>
        <w:rPr>
          <w:color w:val="000000"/>
          <w:szCs w:val="21"/>
        </w:rPr>
        <w:t>]/100</w:t>
      </w:r>
      <w:r>
        <w:rPr>
          <w:rFonts w:hAnsi="宋体"/>
          <w:color w:val="000000"/>
          <w:szCs w:val="21"/>
        </w:rPr>
        <w:t>＝</w:t>
      </w:r>
      <w:r>
        <w:rPr>
          <w:color w:val="000000"/>
          <w:szCs w:val="21"/>
        </w:rPr>
        <w:t>1.61</w:t>
      </w:r>
    </w:p>
    <w:p>
      <w:pPr>
        <w:widowControl/>
        <w:spacing w:line="360" w:lineRule="auto"/>
        <w:ind w:firstLine="525" w:firstLineChars="250"/>
        <w:jc w:val="left"/>
        <w:rPr>
          <w:color w:val="000000"/>
          <w:szCs w:val="21"/>
        </w:rPr>
      </w:pPr>
      <w:r>
        <w:rPr>
          <w:rFonts w:hAnsi="宋体"/>
          <w:color w:val="000000"/>
          <w:szCs w:val="21"/>
        </w:rPr>
        <w:t>获利指数＝</w:t>
      </w:r>
      <w:r>
        <w:rPr>
          <w:color w:val="000000"/>
          <w:szCs w:val="21"/>
        </w:rPr>
        <w:t>1</w:t>
      </w:r>
      <w:r>
        <w:rPr>
          <w:rFonts w:hAnsi="宋体"/>
          <w:color w:val="000000"/>
          <w:szCs w:val="21"/>
        </w:rPr>
        <w:t>＋净现值率＝</w:t>
      </w:r>
      <w:r>
        <w:rPr>
          <w:color w:val="000000"/>
          <w:szCs w:val="21"/>
        </w:rPr>
        <w:t>2.61</w:t>
      </w:r>
    </w:p>
    <w:p>
      <w:pPr>
        <w:widowControl/>
        <w:spacing w:line="360" w:lineRule="auto"/>
        <w:jc w:val="left"/>
        <w:rPr>
          <w:color w:val="000000"/>
          <w:szCs w:val="21"/>
        </w:rPr>
      </w:pPr>
      <w:r>
        <w:rPr>
          <w:rFonts w:hAnsi="宋体"/>
          <w:color w:val="000000"/>
          <w:szCs w:val="21"/>
        </w:rPr>
        <w:t>（</w:t>
      </w:r>
      <w:r>
        <w:rPr>
          <w:color w:val="000000"/>
          <w:szCs w:val="21"/>
        </w:rPr>
        <w:t>3</w:t>
      </w:r>
      <w:r>
        <w:rPr>
          <w:rFonts w:hAnsi="宋体"/>
          <w:color w:val="000000"/>
          <w:szCs w:val="21"/>
        </w:rPr>
        <w:t>）因为净现值大于</w:t>
      </w:r>
      <w:r>
        <w:rPr>
          <w:color w:val="000000"/>
          <w:szCs w:val="21"/>
        </w:rPr>
        <w:t>0</w:t>
      </w:r>
      <w:r>
        <w:rPr>
          <w:rFonts w:hAnsi="宋体"/>
          <w:color w:val="000000"/>
          <w:szCs w:val="21"/>
        </w:rPr>
        <w:t>，故该投资方案可行。</w:t>
      </w:r>
    </w:p>
    <w:p>
      <w:pPr>
        <w:spacing w:line="360" w:lineRule="auto"/>
        <w:rPr>
          <w:rFonts w:hAnsi="宋体"/>
          <w:color w:val="000000"/>
          <w:szCs w:val="21"/>
        </w:rPr>
      </w:pPr>
    </w:p>
    <w:p>
      <w:pPr>
        <w:spacing w:line="360" w:lineRule="auto"/>
        <w:rPr>
          <w:rFonts w:hAnsi="宋体"/>
          <w:color w:val="000000"/>
          <w:szCs w:val="21"/>
        </w:rPr>
      </w:pPr>
      <w:r>
        <w:rPr>
          <w:rFonts w:hint="eastAsia" w:hAnsi="宋体"/>
          <w:color w:val="000000"/>
          <w:szCs w:val="21"/>
        </w:rPr>
        <w:t>2.</w:t>
      </w:r>
    </w:p>
    <w:p>
      <w:pPr>
        <w:spacing w:line="360" w:lineRule="auto"/>
        <w:rPr>
          <w:color w:val="000000"/>
          <w:szCs w:val="21"/>
        </w:rPr>
      </w:pPr>
      <w:r>
        <w:rPr>
          <w:rFonts w:hAnsi="宋体"/>
          <w:color w:val="000000"/>
          <w:szCs w:val="21"/>
        </w:rPr>
        <w:t>（</w:t>
      </w:r>
      <w:r>
        <w:rPr>
          <w:color w:val="000000"/>
          <w:szCs w:val="21"/>
        </w:rPr>
        <w:t>1</w:t>
      </w:r>
      <w:r>
        <w:rPr>
          <w:rFonts w:hAnsi="宋体"/>
          <w:color w:val="000000"/>
          <w:szCs w:val="21"/>
        </w:rPr>
        <w:t>）股利折现模型：普通股成本＝</w:t>
      </w:r>
      <w:r>
        <w:rPr>
          <w:color w:val="000000"/>
          <w:szCs w:val="21"/>
        </w:rPr>
        <w:t>0.8/[8×</w:t>
      </w:r>
      <w:r>
        <w:rPr>
          <w:rFonts w:hAnsi="宋体"/>
          <w:color w:val="000000"/>
          <w:szCs w:val="21"/>
        </w:rPr>
        <w:t>（</w:t>
      </w:r>
      <w:r>
        <w:rPr>
          <w:color w:val="000000"/>
          <w:szCs w:val="21"/>
        </w:rPr>
        <w:t>1-6</w:t>
      </w:r>
      <w:r>
        <w:rPr>
          <w:rFonts w:hAnsi="宋体"/>
          <w:color w:val="000000"/>
          <w:szCs w:val="21"/>
        </w:rPr>
        <w:t>％）</w:t>
      </w:r>
      <w:r>
        <w:rPr>
          <w:color w:val="000000"/>
          <w:szCs w:val="21"/>
        </w:rPr>
        <w:t>]×100</w:t>
      </w:r>
      <w:r>
        <w:rPr>
          <w:rFonts w:hAnsi="宋体"/>
          <w:color w:val="000000"/>
          <w:szCs w:val="21"/>
        </w:rPr>
        <w:t>％＋</w:t>
      </w:r>
      <w:r>
        <w:rPr>
          <w:color w:val="000000"/>
          <w:szCs w:val="21"/>
        </w:rPr>
        <w:t>2</w:t>
      </w:r>
      <w:r>
        <w:rPr>
          <w:rFonts w:hAnsi="宋体"/>
          <w:color w:val="000000"/>
          <w:szCs w:val="21"/>
        </w:rPr>
        <w:t>％＝</w:t>
      </w:r>
      <w:r>
        <w:rPr>
          <w:color w:val="000000"/>
          <w:szCs w:val="21"/>
        </w:rPr>
        <w:t>12.64</w:t>
      </w:r>
      <w:r>
        <w:rPr>
          <w:rFonts w:hAnsi="宋体"/>
          <w:color w:val="000000"/>
          <w:szCs w:val="21"/>
        </w:rPr>
        <w:t>％</w:t>
      </w:r>
    </w:p>
    <w:p>
      <w:pPr>
        <w:spacing w:line="360" w:lineRule="auto"/>
        <w:rPr>
          <w:color w:val="000000"/>
          <w:szCs w:val="21"/>
        </w:rPr>
      </w:pPr>
      <w:r>
        <w:rPr>
          <w:rFonts w:hAnsi="宋体"/>
          <w:color w:val="000000"/>
          <w:szCs w:val="21"/>
        </w:rPr>
        <w:t>（</w:t>
      </w:r>
      <w:r>
        <w:rPr>
          <w:color w:val="000000"/>
          <w:szCs w:val="21"/>
        </w:rPr>
        <w:t>2</w:t>
      </w:r>
      <w:r>
        <w:rPr>
          <w:rFonts w:hAnsi="宋体"/>
          <w:color w:val="000000"/>
          <w:szCs w:val="21"/>
        </w:rPr>
        <w:t>）资本资产定价模型：普通股成本＝</w:t>
      </w:r>
      <w:r>
        <w:rPr>
          <w:color w:val="000000"/>
          <w:szCs w:val="21"/>
        </w:rPr>
        <w:t>R</w:t>
      </w:r>
      <w:r>
        <w:rPr>
          <w:color w:val="000000"/>
          <w:szCs w:val="21"/>
          <w:vertAlign w:val="subscript"/>
        </w:rPr>
        <w:t>f</w:t>
      </w:r>
      <w:r>
        <w:rPr>
          <w:rFonts w:hAnsi="宋体"/>
          <w:color w:val="000000"/>
          <w:szCs w:val="21"/>
        </w:rPr>
        <w:t>＋</w:t>
      </w:r>
      <w:r>
        <w:rPr>
          <w:color w:val="000000"/>
          <w:szCs w:val="21"/>
        </w:rPr>
        <w:t>β</w:t>
      </w:r>
      <w:r>
        <w:rPr>
          <w:rFonts w:hAnsi="宋体"/>
          <w:color w:val="000000"/>
          <w:szCs w:val="21"/>
        </w:rPr>
        <w:t>（</w:t>
      </w:r>
      <w:r>
        <w:rPr>
          <w:color w:val="000000"/>
          <w:szCs w:val="21"/>
        </w:rPr>
        <w:t>R</w:t>
      </w:r>
      <w:r>
        <w:rPr>
          <w:color w:val="000000"/>
          <w:szCs w:val="21"/>
          <w:vertAlign w:val="subscript"/>
        </w:rPr>
        <w:t>m</w:t>
      </w:r>
      <w:r>
        <w:rPr>
          <w:color w:val="000000"/>
          <w:szCs w:val="21"/>
        </w:rPr>
        <w:t>-R</w:t>
      </w:r>
      <w:r>
        <w:rPr>
          <w:color w:val="000000"/>
          <w:szCs w:val="21"/>
          <w:vertAlign w:val="subscript"/>
        </w:rPr>
        <w:t>f</w:t>
      </w:r>
      <w:r>
        <w:rPr>
          <w:rFonts w:hAnsi="宋体"/>
          <w:color w:val="000000"/>
          <w:szCs w:val="21"/>
        </w:rPr>
        <w:t>）＝</w:t>
      </w:r>
      <w:r>
        <w:rPr>
          <w:color w:val="000000"/>
          <w:szCs w:val="21"/>
        </w:rPr>
        <w:t>8</w:t>
      </w:r>
      <w:r>
        <w:rPr>
          <w:rFonts w:hAnsi="宋体"/>
          <w:color w:val="000000"/>
          <w:szCs w:val="21"/>
        </w:rPr>
        <w:t>％＋</w:t>
      </w:r>
      <w:r>
        <w:rPr>
          <w:color w:val="000000"/>
          <w:szCs w:val="21"/>
        </w:rPr>
        <w:t>1.2×</w:t>
      </w:r>
      <w:r>
        <w:rPr>
          <w:rFonts w:hAnsi="宋体"/>
          <w:color w:val="000000"/>
          <w:szCs w:val="21"/>
        </w:rPr>
        <w:t>（</w:t>
      </w:r>
      <w:r>
        <w:rPr>
          <w:color w:val="000000"/>
          <w:szCs w:val="21"/>
        </w:rPr>
        <w:t>12</w:t>
      </w:r>
      <w:r>
        <w:rPr>
          <w:rFonts w:hAnsi="宋体"/>
          <w:color w:val="000000"/>
          <w:szCs w:val="21"/>
        </w:rPr>
        <w:t>％</w:t>
      </w:r>
      <w:r>
        <w:rPr>
          <w:color w:val="000000"/>
          <w:szCs w:val="21"/>
        </w:rPr>
        <w:t>-8</w:t>
      </w:r>
      <w:r>
        <w:rPr>
          <w:rFonts w:hAnsi="宋体"/>
          <w:color w:val="000000"/>
          <w:szCs w:val="21"/>
        </w:rPr>
        <w:t>％）＝</w:t>
      </w:r>
      <w:r>
        <w:rPr>
          <w:color w:val="000000"/>
          <w:szCs w:val="21"/>
        </w:rPr>
        <w:t>12.8</w:t>
      </w:r>
      <w:r>
        <w:rPr>
          <w:rFonts w:hAnsi="宋体"/>
          <w:color w:val="000000"/>
          <w:szCs w:val="21"/>
        </w:rPr>
        <w:t>％</w:t>
      </w:r>
    </w:p>
    <w:p>
      <w:pPr>
        <w:spacing w:line="360" w:lineRule="auto"/>
        <w:rPr>
          <w:color w:val="000000"/>
          <w:szCs w:val="21"/>
        </w:rPr>
      </w:pPr>
      <w:r>
        <w:rPr>
          <w:rFonts w:hAnsi="宋体"/>
          <w:color w:val="000000"/>
          <w:szCs w:val="21"/>
        </w:rPr>
        <w:t>（</w:t>
      </w:r>
      <w:r>
        <w:rPr>
          <w:color w:val="000000"/>
          <w:szCs w:val="21"/>
        </w:rPr>
        <w:t>3</w:t>
      </w:r>
      <w:r>
        <w:rPr>
          <w:rFonts w:hAnsi="宋体"/>
          <w:color w:val="000000"/>
          <w:szCs w:val="21"/>
        </w:rPr>
        <w:t>）无风险利率加风险溢价法：普通股成本＝无风险利率＋风险溢价＝</w:t>
      </w:r>
      <w:r>
        <w:rPr>
          <w:color w:val="000000"/>
          <w:szCs w:val="21"/>
        </w:rPr>
        <w:t>8</w:t>
      </w:r>
      <w:r>
        <w:rPr>
          <w:rFonts w:hAnsi="宋体"/>
          <w:color w:val="000000"/>
          <w:szCs w:val="21"/>
        </w:rPr>
        <w:t>％＋</w:t>
      </w:r>
      <w:r>
        <w:rPr>
          <w:color w:val="000000"/>
          <w:szCs w:val="21"/>
        </w:rPr>
        <w:t>4</w:t>
      </w:r>
      <w:r>
        <w:rPr>
          <w:rFonts w:hAnsi="宋体"/>
          <w:color w:val="000000"/>
          <w:szCs w:val="21"/>
        </w:rPr>
        <w:t>％＝</w:t>
      </w:r>
      <w:r>
        <w:rPr>
          <w:color w:val="000000"/>
          <w:szCs w:val="21"/>
        </w:rPr>
        <w:t>12</w:t>
      </w:r>
      <w:r>
        <w:rPr>
          <w:rFonts w:hAnsi="宋体"/>
          <w:color w:val="000000"/>
          <w:szCs w:val="21"/>
        </w:rPr>
        <w:t>％</w:t>
      </w:r>
    </w:p>
    <w:p>
      <w:pPr>
        <w:spacing w:line="360" w:lineRule="auto"/>
        <w:rPr>
          <w:color w:val="000000"/>
          <w:szCs w:val="21"/>
        </w:rPr>
      </w:pPr>
    </w:p>
    <w:p>
      <w:pPr>
        <w:spacing w:line="360" w:lineRule="auto"/>
        <w:rPr>
          <w:color w:val="000000"/>
          <w:szCs w:val="21"/>
        </w:rPr>
      </w:pPr>
    </w:p>
    <w:sectPr>
      <w:headerReference r:id="rId6" w:type="first"/>
      <w:footerReference r:id="rId9" w:type="first"/>
      <w:headerReference r:id="rId4" w:type="default"/>
      <w:footerReference r:id="rId7" w:type="default"/>
      <w:headerReference r:id="rId5" w:type="even"/>
      <w:footerReference r:id="rId8" w:type="even"/>
      <w:type w:val="continuous"/>
      <w:pgSz w:w="11906" w:h="16838"/>
      <w:pgMar w:top="1361" w:right="1797" w:bottom="113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楷体_GB2312">
    <w:altName w:val="楷体"/>
    <w:panose1 w:val="02010609030101010101"/>
    <w:charset w:val="86"/>
    <w:family w:val="auto"/>
    <w:pitch w:val="default"/>
    <w:sig w:usb0="00000001" w:usb1="080E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right"/>
      <w:rPr>
        <w:rFonts w:hint="eastAsia" w:ascii="楷体" w:hAnsi="楷体" w:eastAsia="楷体" w:cs="楷体"/>
      </w:rPr>
    </w:pPr>
    <w:r>
      <w:rPr>
        <w:rFonts w:hint="eastAsia" w:ascii="楷体" w:hAnsi="楷体" w:eastAsia="楷体" w:cs="楷体"/>
      </w:rPr>
      <w:t>第</w:t>
    </w:r>
    <w:r>
      <w:rPr>
        <w:rStyle w:val="8"/>
        <w:rFonts w:hint="eastAsia" w:ascii="楷体" w:hAnsi="楷体" w:eastAsia="楷体" w:cs="楷体"/>
      </w:rPr>
      <w:fldChar w:fldCharType="begin"/>
    </w:r>
    <w:r>
      <w:rPr>
        <w:rStyle w:val="8"/>
        <w:rFonts w:hint="eastAsia" w:ascii="楷体" w:hAnsi="楷体" w:eastAsia="楷体" w:cs="楷体"/>
      </w:rPr>
      <w:instrText xml:space="preserve"> PAGE </w:instrText>
    </w:r>
    <w:r>
      <w:rPr>
        <w:rStyle w:val="8"/>
        <w:rFonts w:hint="eastAsia" w:ascii="楷体" w:hAnsi="楷体" w:eastAsia="楷体" w:cs="楷体"/>
      </w:rPr>
      <w:fldChar w:fldCharType="separate"/>
    </w:r>
    <w:r>
      <w:rPr>
        <w:rStyle w:val="8"/>
        <w:rFonts w:hint="eastAsia" w:ascii="楷体" w:hAnsi="楷体" w:eastAsia="楷体" w:cs="楷体"/>
      </w:rPr>
      <w:t>9</w:t>
    </w:r>
    <w:r>
      <w:rPr>
        <w:rStyle w:val="8"/>
        <w:rFonts w:hint="eastAsia" w:ascii="楷体" w:hAnsi="楷体" w:eastAsia="楷体" w:cs="楷体"/>
      </w:rPr>
      <w:fldChar w:fldCharType="end"/>
    </w:r>
    <w:r>
      <w:rPr>
        <w:rFonts w:hint="eastAsia" w:ascii="楷体" w:hAnsi="楷体" w:eastAsia="楷体" w:cs="楷体"/>
      </w:rPr>
      <w:t xml:space="preserve">页（共9页）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both"/>
    </w:pPr>
    <w:r>
      <w:rPr>
        <w:rFonts w:hint="eastAsia" w:ascii="楷体_GB2312" w:eastAsia="楷体_GB2312"/>
      </w:rPr>
      <w:t>中国地质大学（北京）继续教育学院                                           201</w:t>
    </w:r>
    <w:r>
      <w:rPr>
        <w:rFonts w:hint="eastAsia" w:ascii="楷体_GB2312" w:eastAsia="楷体_GB2312"/>
        <w:lang w:val="en-US" w:eastAsia="zh-CN"/>
      </w:rPr>
      <w:t>5</w:t>
    </w:r>
    <w:r>
      <w:rPr>
        <w:rFonts w:hint="eastAsia" w:ascii="楷体_GB2312" w:eastAsia="楷体_GB2312"/>
      </w:rPr>
      <w:t>年</w:t>
    </w:r>
    <w:r>
      <w:rPr>
        <w:rFonts w:hint="eastAsia" w:ascii="楷体_GB2312" w:eastAsia="楷体_GB2312"/>
        <w:lang w:val="en-US" w:eastAsia="zh-CN"/>
      </w:rPr>
      <w:t>03</w:t>
    </w:r>
    <w:bookmarkStart w:id="0" w:name="_GoBack"/>
    <w:bookmarkEnd w:id="0"/>
    <w:r>
      <w:rPr>
        <w:rFonts w:hint="eastAsia" w:ascii="楷体_GB2312" w:eastAsia="楷体_GB2312"/>
      </w:rPr>
      <w:t>课程考试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13886864">
    <w:nsid w:val="54463390"/>
    <w:multiLevelType w:val="singleLevel"/>
    <w:tmpl w:val="54463390"/>
    <w:lvl w:ilvl="0" w:tentative="1">
      <w:start w:val="2"/>
      <w:numFmt w:val="decimal"/>
      <w:suff w:val="nothing"/>
      <w:lvlText w:val="%1."/>
      <w:lvlJc w:val="left"/>
    </w:lvl>
  </w:abstractNum>
  <w:abstractNum w:abstractNumId="486675207">
    <w:nsid w:val="1D021307"/>
    <w:multiLevelType w:val="multilevel"/>
    <w:tmpl w:val="1D021307"/>
    <w:lvl w:ilvl="0" w:tentative="1">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413886864"/>
  </w:num>
  <w:num w:numId="2">
    <w:abstractNumId w:val="48667520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697D3632"/>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iPriority="0" w:name="Table Grid"/>
    <w:lsdException w:uiPriority="0" w:name="Table Theme"/>
    <w:lsdException w:uiPriority="0" w:name="Light Shading"/>
    <w:lsdException w:uiPriority="0" w:name="Light List"/>
    <w:lsdException w:uiPriority="0" w:name="Light Grid"/>
    <w:lsdException w:uiPriority="0" w:name="Medium Shading 1"/>
    <w:lsdException w:uiPriority="0" w:name="Medium Shading 2"/>
    <w:lsdException w:uiPriority="0" w:name="Medium List 1"/>
    <w:lsdException w:uiPriority="0" w:name="Medium List 2"/>
    <w:lsdException w:uiPriority="0" w:name="Medium Grid 1"/>
    <w:lsdException w:uiPriority="0" w:name="Medium Grid 2"/>
    <w:lsdException w:uiPriority="0" w:name="Medium Grid 3"/>
    <w:lsdException w:uiPriority="0" w:name="Dark List"/>
    <w:lsdException w:uiPriority="0" w:name="Colorful Shading"/>
    <w:lsdException w:uiPriority="0" w:name="Colorful List"/>
    <w:lsdException w:uiPriority="0" w:name="Colorful Grid"/>
    <w:lsdException w:uiPriority="0" w:name="Light Shading Accent 1"/>
    <w:lsdException w:uiPriority="0" w:name="Light List Accent 1"/>
    <w:lsdException w:uiPriority="0" w:name="Light Grid Accent 1"/>
    <w:lsdException w:uiPriority="0" w:name="Medium Shading 1 Accent 1"/>
    <w:lsdException w:uiPriority="0" w:name="Medium Shading 2 Accent 1"/>
    <w:lsdException w:uiPriority="0" w:name="Medium List 1 Accent 1"/>
    <w:lsdException w:uiPriority="0" w:name="Medium List 2 Accent 1"/>
    <w:lsdException w:uiPriority="0" w:name="Medium Grid 1 Accent 1"/>
    <w:lsdException w:uiPriority="0" w:name="Medium Grid 2 Accent 1"/>
    <w:lsdException w:uiPriority="0" w:name="Medium Grid 3 Accent 1"/>
    <w:lsdException w:uiPriority="0" w:name="Dark List Accent 1"/>
    <w:lsdException w:uiPriority="0" w:name="Colorful Shading Accent 1"/>
    <w:lsdException w:uiPriority="0" w:name="Colorful List Accent 1"/>
    <w:lsdException w:uiPriority="0" w:name="Colorful Grid Accent 1"/>
    <w:lsdException w:uiPriority="0" w:name="Light Shading Accent 2"/>
    <w:lsdException w:uiPriority="0" w:name="Light List Accent 2"/>
    <w:lsdException w:uiPriority="0" w:name="Light Grid Accent 2"/>
    <w:lsdException w:uiPriority="0" w:name="Medium Shading 1 Accent 2"/>
    <w:lsdException w:uiPriority="0" w:name="Medium Shading 2 Accent 2"/>
    <w:lsdException w:uiPriority="0" w:name="Medium List 1 Accent 2"/>
    <w:lsdException w:uiPriority="0" w:name="Medium List 2 Accent 2"/>
    <w:lsdException w:uiPriority="0" w:name="Medium Grid 1 Accent 2"/>
    <w:lsdException w:uiPriority="0" w:name="Medium Grid 2 Accent 2"/>
    <w:lsdException w:uiPriority="0" w:name="Medium Grid 3 Accent 2"/>
    <w:lsdException w:uiPriority="0" w:name="Dark List Accent 2"/>
    <w:lsdException w:uiPriority="0" w:name="Colorful Shading Accent 2"/>
    <w:lsdException w:uiPriority="0" w:name="Colorful List Accent 2"/>
    <w:lsdException w:uiPriority="0" w:name="Colorful Grid Accent 2"/>
    <w:lsdException w:uiPriority="0" w:name="Light Shading Accent 3"/>
    <w:lsdException w:uiPriority="0" w:name="Light List Accent 3"/>
    <w:lsdException w:uiPriority="0" w:name="Light Grid Accent 3"/>
    <w:lsdException w:uiPriority="0" w:name="Medium Shading 1 Accent 3"/>
    <w:lsdException w:uiPriority="0" w:name="Medium Shading 2 Accent 3"/>
    <w:lsdException w:uiPriority="0" w:name="Medium List 1 Accent 3"/>
    <w:lsdException w:uiPriority="0" w:name="Medium List 2 Accent 3"/>
    <w:lsdException w:uiPriority="0" w:name="Medium Grid 1 Accent 3"/>
    <w:lsdException w:uiPriority="0" w:name="Medium Grid 2 Accent 3"/>
    <w:lsdException w:uiPriority="0" w:name="Medium Grid 3 Accent 3"/>
    <w:lsdException w:uiPriority="0" w:name="Dark List Accent 3"/>
    <w:lsdException w:uiPriority="0" w:name="Colorful Shading Accent 3"/>
    <w:lsdException w:uiPriority="0" w:name="Colorful List Accent 3"/>
    <w:lsdException w:uiPriority="0" w:name="Colorful Grid Accent 3"/>
    <w:lsdException w:uiPriority="0" w:name="Light Shading Accent 4"/>
    <w:lsdException w:uiPriority="0" w:name="Light List Accent 4"/>
    <w:lsdException w:uiPriority="0" w:name="Light Grid Accent 4"/>
    <w:lsdException w:uiPriority="0" w:name="Medium Shading 1 Accent 4"/>
    <w:lsdException w:uiPriority="0" w:name="Medium Shading 2 Accent 4"/>
    <w:lsdException w:uiPriority="0" w:name="Medium List 1 Accent 4"/>
    <w:lsdException w:uiPriority="0" w:name="Medium List 2 Accent 4"/>
    <w:lsdException w:uiPriority="0" w:name="Medium Grid 1 Accent 4"/>
    <w:lsdException w:uiPriority="0" w:name="Medium Grid 2 Accent 4"/>
    <w:lsdException w:uiPriority="0" w:name="Medium Grid 3 Accent 4"/>
    <w:lsdException w:uiPriority="0" w:name="Dark List Accent 4"/>
    <w:lsdException w:uiPriority="0" w:name="Colorful Shading Accent 4"/>
    <w:lsdException w:uiPriority="0" w:name="Colorful List Accent 4"/>
    <w:lsdException w:uiPriority="0" w:name="Colorful Grid Accent 4"/>
    <w:lsdException w:uiPriority="0" w:name="Light Shading Accent 5"/>
    <w:lsdException w:uiPriority="0" w:name="Light List Accent 5"/>
    <w:lsdException w:uiPriority="0" w:name="Light Grid Accent 5"/>
    <w:lsdException w:uiPriority="0" w:name="Medium Shading 1 Accent 5"/>
    <w:lsdException w:uiPriority="0" w:name="Medium Shading 2 Accent 5"/>
    <w:lsdException w:uiPriority="0" w:name="Medium List 1 Accent 5"/>
    <w:lsdException w:uiPriority="0" w:name="Medium List 2 Accent 5"/>
    <w:lsdException w:uiPriority="0" w:name="Medium Grid 1 Accent 5"/>
    <w:lsdException w:uiPriority="0" w:name="Medium Grid 2 Accent 5"/>
    <w:lsdException w:uiPriority="0" w:name="Medium Grid 3 Accent 5"/>
    <w:lsdException w:uiPriority="0" w:name="Dark List Accent 5"/>
    <w:lsdException w:uiPriority="0" w:name="Colorful Shading Accent 5"/>
    <w:lsdException w:uiPriority="0" w:name="Colorful List Accent 5"/>
    <w:lsdException w:uiPriority="0" w:name="Colorful Grid Accent 5"/>
    <w:lsdException w:uiPriority="0" w:name="Light Shading Accent 6"/>
    <w:lsdException w:uiPriority="0" w:name="Light List Accent 6"/>
    <w:lsdException w:uiPriority="0" w:name="Light Grid Accent 6"/>
    <w:lsdException w:uiPriority="0" w:name="Medium Shading 1 Accent 6"/>
    <w:lsdException w:uiPriority="0" w:name="Medium Shading 2 Accent 6"/>
    <w:lsdException w:uiPriority="0" w:name="Medium List 1 Accent 6"/>
    <w:lsdException w:uiPriority="0" w:name="Medium List 2 Accent 6"/>
    <w:lsdException w:uiPriority="0" w:name="Medium Grid 1 Accent 6"/>
    <w:lsdException w:uiPriority="0" w:name="Medium Grid 2 Accent 6"/>
    <w:lsdException w:uiPriority="0" w:name="Medium Grid 3 Accent 6"/>
    <w:lsdException w:uiPriority="0" w:name="Dark List Accent 6"/>
    <w:lsdException w:uiPriority="0" w:name="Colorful Shading Accent 6"/>
    <w:lsdException w:uiPriority="0" w:name="Colorful List Accent 6"/>
    <w:lsdException w:uiPriority="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9">
    <w:name w:val="Normal Table"/>
    <w:unhideWhenUsed/>
    <w:uiPriority w:val="0"/>
    <w:tblPr>
      <w:tblLayout w:type="fixed"/>
      <w:tblCellMar>
        <w:top w:w="0" w:type="dxa"/>
        <w:left w:w="108" w:type="dxa"/>
        <w:bottom w:w="0" w:type="dxa"/>
        <w:right w:w="108" w:type="dxa"/>
      </w:tblCellMar>
    </w:tblPr>
    <w:tcPr>
      <w:textDirection w:val="lrTb"/>
    </w:tcPr>
  </w:style>
  <w:style w:type="paragraph" w:styleId="2">
    <w:name w:val="Balloon Text"/>
    <w:basedOn w:val="1"/>
    <w:link w:val="13"/>
    <w:unhideWhenUsed/>
    <w:uiPriority w:val="99"/>
    <w:rPr>
      <w:sz w:val="18"/>
      <w:szCs w:val="18"/>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0"/>
    <w:rPr>
      <w:b/>
      <w:bCs/>
    </w:rPr>
  </w:style>
  <w:style w:type="character" w:styleId="8">
    <w:name w:val="page number"/>
    <w:basedOn w:val="6"/>
    <w:uiPriority w:val="0"/>
    <w:rPr/>
  </w:style>
  <w:style w:type="paragraph" w:customStyle="1" w:styleId="10">
    <w:name w:val="列出段落1"/>
    <w:basedOn w:val="1"/>
    <w:qFormat/>
    <w:uiPriority w:val="34"/>
    <w:pPr>
      <w:ind w:firstLine="420" w:firstLineChars="200"/>
    </w:pPr>
    <w:rPr>
      <w:rFonts w:ascii="Calibri" w:hAnsi="Calibri"/>
      <w:szCs w:val="22"/>
    </w:rPr>
  </w:style>
  <w:style w:type="character" w:customStyle="1" w:styleId="11">
    <w:name w:val="页眉 Char"/>
    <w:basedOn w:val="6"/>
    <w:link w:val="4"/>
    <w:uiPriority w:val="99"/>
    <w:rPr>
      <w:sz w:val="18"/>
      <w:szCs w:val="18"/>
    </w:rPr>
  </w:style>
  <w:style w:type="character" w:customStyle="1" w:styleId="12">
    <w:name w:val="页脚 Char"/>
    <w:basedOn w:val="6"/>
    <w:link w:val="3"/>
    <w:uiPriority w:val="99"/>
    <w:rPr>
      <w:sz w:val="18"/>
      <w:szCs w:val="18"/>
    </w:rPr>
  </w:style>
  <w:style w:type="character" w:customStyle="1" w:styleId="13">
    <w:name w:val="批注框文本 Char"/>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9</Pages>
  <Words>1017</Words>
  <Characters>5800</Characters>
  <Lines>48</Lines>
  <Paragraphs>13</Paragraphs>
  <ScaleCrop>false</ScaleCrop>
  <LinksUpToDate>false</LinksUpToDate>
  <CharactersWithSpaces>0</CharactersWithSpaces>
  <Application>WPS Office 个人版_9.1.0.4885_{F1E327BC-269C-435d-A152-05C5408002CA}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2013-10-23T02:53:00Z</dcterms:created>
  <dc:creator>user</dc:creator>
  <cp:lastModifiedBy>dell</cp:lastModifiedBy>
  <cp:lastPrinted>2013-09-26T03:22:00Z</cp:lastPrinted>
  <dcterms:modified xsi:type="dcterms:W3CDTF">2014-12-30T02:27:39Z</dcterms:modified>
  <dc:title>《财务管理学》模拟题（补）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